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1DF6" w:rsidRDefault="001D1DF6">
      <w:pPr>
        <w:spacing w:line="500" w:lineRule="atLeast"/>
        <w:jc w:val="center"/>
        <w:divId w:val="1972978148"/>
        <w:rPr>
          <w:rFonts w:ascii="黑体" w:eastAsia="黑体" w:hAnsi="黑体"/>
          <w:sz w:val="36"/>
          <w:szCs w:val="36"/>
        </w:rPr>
      </w:pPr>
      <w:r>
        <w:rPr>
          <w:rFonts w:ascii="黑体" w:eastAsia="黑体" w:hAnsi="黑体" w:hint="eastAsia"/>
          <w:sz w:val="36"/>
          <w:szCs w:val="36"/>
        </w:rPr>
        <w:t>广东省梅州市梅江区人民法院</w:t>
      </w:r>
    </w:p>
    <w:p w:rsidR="001D1DF6" w:rsidRDefault="001D1DF6">
      <w:pPr>
        <w:spacing w:line="500" w:lineRule="atLeast"/>
        <w:jc w:val="center"/>
        <w:divId w:val="15637603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D1DF6" w:rsidRDefault="001D1DF6">
      <w:pPr>
        <w:spacing w:line="500" w:lineRule="atLeast"/>
        <w:jc w:val="right"/>
        <w:divId w:val="483395528"/>
        <w:rPr>
          <w:rFonts w:hint="eastAsia"/>
          <w:sz w:val="30"/>
          <w:szCs w:val="30"/>
        </w:rPr>
      </w:pPr>
      <w:r>
        <w:rPr>
          <w:rFonts w:hint="eastAsia"/>
          <w:sz w:val="30"/>
          <w:szCs w:val="30"/>
        </w:rPr>
        <w:t>（</w:t>
      </w:r>
      <w:r>
        <w:rPr>
          <w:rFonts w:hint="eastAsia"/>
          <w:sz w:val="30"/>
          <w:szCs w:val="30"/>
        </w:rPr>
        <w:t>2014</w:t>
      </w:r>
      <w:r>
        <w:rPr>
          <w:rFonts w:hint="eastAsia"/>
          <w:sz w:val="30"/>
          <w:szCs w:val="30"/>
        </w:rPr>
        <w:t>）梅江法刑初字第</w:t>
      </w:r>
      <w:r>
        <w:rPr>
          <w:rFonts w:hint="eastAsia"/>
          <w:sz w:val="30"/>
          <w:szCs w:val="30"/>
        </w:rPr>
        <w:t>298</w:t>
      </w:r>
      <w:r>
        <w:rPr>
          <w:rFonts w:hint="eastAsia"/>
          <w:sz w:val="30"/>
          <w:szCs w:val="30"/>
        </w:rPr>
        <w:t>号</w:t>
      </w:r>
    </w:p>
    <w:p w:rsidR="001D1DF6" w:rsidRDefault="001D1DF6">
      <w:pPr>
        <w:spacing w:line="500" w:lineRule="atLeast"/>
        <w:ind w:firstLine="600"/>
        <w:divId w:val="141118352"/>
        <w:rPr>
          <w:rFonts w:hint="eastAsia"/>
          <w:sz w:val="30"/>
          <w:szCs w:val="30"/>
        </w:rPr>
      </w:pPr>
      <w:r>
        <w:rPr>
          <w:rFonts w:hint="eastAsia"/>
          <w:sz w:val="30"/>
          <w:szCs w:val="30"/>
        </w:rPr>
        <w:t>公诉机关梅州市梅江区人民检察院。</w:t>
      </w:r>
    </w:p>
    <w:p w:rsidR="001D1DF6" w:rsidRDefault="001D1DF6">
      <w:pPr>
        <w:spacing w:line="500" w:lineRule="atLeast"/>
        <w:ind w:firstLine="600"/>
        <w:divId w:val="1875774724"/>
        <w:rPr>
          <w:rFonts w:hint="eastAsia"/>
          <w:sz w:val="30"/>
          <w:szCs w:val="30"/>
        </w:rPr>
      </w:pPr>
      <w:r>
        <w:rPr>
          <w:rFonts w:hint="eastAsia"/>
          <w:sz w:val="30"/>
          <w:szCs w:val="30"/>
        </w:rPr>
        <w:t>被告人郭某娟。</w:t>
      </w:r>
    </w:p>
    <w:p w:rsidR="001D1DF6" w:rsidRDefault="001D1DF6">
      <w:pPr>
        <w:spacing w:line="500" w:lineRule="atLeast"/>
        <w:ind w:firstLine="600"/>
        <w:divId w:val="1570339190"/>
        <w:rPr>
          <w:rFonts w:hint="eastAsia"/>
          <w:sz w:val="30"/>
          <w:szCs w:val="30"/>
        </w:rPr>
      </w:pPr>
      <w:r>
        <w:rPr>
          <w:rFonts w:hint="eastAsia"/>
          <w:sz w:val="30"/>
          <w:szCs w:val="30"/>
        </w:rPr>
        <w:t>辩护人魏新民，系广东世纪华人（梅州）律师事务所律师。</w:t>
      </w:r>
    </w:p>
    <w:p w:rsidR="001D1DF6" w:rsidRDefault="001D1DF6">
      <w:pPr>
        <w:spacing w:line="500" w:lineRule="atLeast"/>
        <w:ind w:firstLine="600"/>
        <w:divId w:val="1424841898"/>
        <w:rPr>
          <w:rFonts w:hint="eastAsia"/>
          <w:sz w:val="30"/>
          <w:szCs w:val="30"/>
        </w:rPr>
      </w:pPr>
      <w:r>
        <w:rPr>
          <w:rFonts w:hint="eastAsia"/>
          <w:sz w:val="30"/>
          <w:szCs w:val="30"/>
        </w:rPr>
        <w:t>辩护人李娜，系系广东世纪华人（梅州）律师事务所律师（未到庭）。</w:t>
      </w:r>
    </w:p>
    <w:p w:rsidR="001D1DF6" w:rsidRDefault="001D1DF6">
      <w:pPr>
        <w:spacing w:line="500" w:lineRule="atLeast"/>
        <w:ind w:firstLine="600"/>
        <w:divId w:val="25065377"/>
        <w:rPr>
          <w:rFonts w:hint="eastAsia"/>
          <w:sz w:val="30"/>
          <w:szCs w:val="30"/>
        </w:rPr>
      </w:pPr>
      <w:r>
        <w:rPr>
          <w:rFonts w:hint="eastAsia"/>
          <w:sz w:val="30"/>
          <w:szCs w:val="30"/>
        </w:rPr>
        <w:t>梅州市梅江区人民检察院以区检诉刑诉（</w:t>
      </w:r>
      <w:r>
        <w:rPr>
          <w:rFonts w:hint="eastAsia"/>
          <w:sz w:val="30"/>
          <w:szCs w:val="30"/>
        </w:rPr>
        <w:t>2014</w:t>
      </w:r>
      <w:r>
        <w:rPr>
          <w:rFonts w:hint="eastAsia"/>
          <w:sz w:val="30"/>
          <w:szCs w:val="30"/>
        </w:rPr>
        <w:t>）</w:t>
      </w:r>
      <w:r>
        <w:rPr>
          <w:rFonts w:hint="eastAsia"/>
          <w:sz w:val="30"/>
          <w:szCs w:val="30"/>
        </w:rPr>
        <w:t>265</w:t>
      </w:r>
      <w:r>
        <w:rPr>
          <w:rFonts w:hint="eastAsia"/>
          <w:sz w:val="30"/>
          <w:szCs w:val="30"/>
        </w:rPr>
        <w:t>号起诉书指控被告人郭某娟犯行贿罪，于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本院提起公诉。送达起诉书副本及开庭审理时，被告人郭某娟自愿认罪，本院适用普通程序审理，依法组成合议庭，公开开庭审理了本案。梅州市梅江区人民检察院指派检察员黄浩出庭支持公诉，被告人郭某娟及其辩护人魏新民到庭参加了诉讼。现已审理终结。</w:t>
      </w:r>
    </w:p>
    <w:p w:rsidR="001D1DF6" w:rsidRDefault="001D1DF6">
      <w:pPr>
        <w:spacing w:line="500" w:lineRule="atLeast"/>
        <w:ind w:firstLine="600"/>
        <w:divId w:val="225920399"/>
        <w:rPr>
          <w:rFonts w:hint="eastAsia"/>
          <w:sz w:val="30"/>
          <w:szCs w:val="30"/>
        </w:rPr>
      </w:pPr>
      <w:r>
        <w:rPr>
          <w:rFonts w:hint="eastAsia"/>
          <w:sz w:val="30"/>
          <w:szCs w:val="30"/>
        </w:rPr>
        <w:t>被告人郭某娟及其辩护人对公诉机关指控的犯罪事实、罪名无异议。辩护人提出被告人郭某娟有自首情节，请求从轻处罚。</w:t>
      </w:r>
    </w:p>
    <w:p w:rsidR="001D1DF6" w:rsidRDefault="001D1DF6">
      <w:pPr>
        <w:spacing w:line="500" w:lineRule="atLeast"/>
        <w:divId w:val="207229029"/>
        <w:rPr>
          <w:rFonts w:hint="eastAsia"/>
          <w:sz w:val="30"/>
          <w:szCs w:val="30"/>
        </w:rPr>
      </w:pPr>
      <w:r>
        <w:rPr>
          <w:rFonts w:hint="eastAsia"/>
          <w:sz w:val="30"/>
          <w:szCs w:val="30"/>
        </w:rPr>
        <w:t>经审理查明：</w:t>
      </w:r>
    </w:p>
    <w:p w:rsidR="001D1DF6" w:rsidRDefault="001D1DF6">
      <w:pPr>
        <w:spacing w:line="500" w:lineRule="atLeast"/>
        <w:ind w:firstLine="600"/>
        <w:divId w:val="2105494336"/>
        <w:rPr>
          <w:rFonts w:hint="eastAsia"/>
          <w:sz w:val="30"/>
          <w:szCs w:val="30"/>
        </w:rPr>
      </w:pPr>
      <w:r>
        <w:rPr>
          <w:rFonts w:hint="eastAsia"/>
          <w:sz w:val="30"/>
          <w:szCs w:val="30"/>
        </w:rPr>
        <w:t>被告人郭某娟为谋取不正当利益，伙同梅州市蕉岭县人民法院民事审判一庭庭长江某才帮助不符合深圳市住房限购规定的房产买卖双方以进行虚假民事诉讼的方式规避深圳市住房限购规定、实现房产买卖过户。</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月期间，郭某娟先后提供给江某才</w:t>
      </w:r>
      <w:r>
        <w:rPr>
          <w:rFonts w:hint="eastAsia"/>
          <w:sz w:val="30"/>
          <w:szCs w:val="30"/>
        </w:rPr>
        <w:t>13</w:t>
      </w:r>
      <w:r>
        <w:rPr>
          <w:rFonts w:hint="eastAsia"/>
          <w:sz w:val="30"/>
          <w:szCs w:val="30"/>
        </w:rPr>
        <w:t>份房产买卖双方身份信息及需要交易的深圳市房产信息，江某才接到后通过进行虚假民事诉讼的形式制作了民事调解书和协助执行通知书并送达到深圳市</w:t>
      </w:r>
      <w:r>
        <w:rPr>
          <w:rFonts w:hint="eastAsia"/>
          <w:sz w:val="30"/>
          <w:szCs w:val="30"/>
        </w:rPr>
        <w:lastRenderedPageBreak/>
        <w:t>房地产权登记中心，实现了</w:t>
      </w:r>
      <w:r>
        <w:rPr>
          <w:rFonts w:hint="eastAsia"/>
          <w:sz w:val="30"/>
          <w:szCs w:val="30"/>
        </w:rPr>
        <w:t>13</w:t>
      </w:r>
      <w:r>
        <w:rPr>
          <w:rFonts w:hint="eastAsia"/>
          <w:sz w:val="30"/>
          <w:szCs w:val="30"/>
        </w:rPr>
        <w:t>套房产的过户。在此过程中，郭某娟先后给予江某才送款人民币合计</w:t>
      </w:r>
      <w:r>
        <w:rPr>
          <w:rFonts w:hint="eastAsia"/>
          <w:sz w:val="30"/>
          <w:szCs w:val="30"/>
        </w:rPr>
        <w:t>232000</w:t>
      </w:r>
      <w:r>
        <w:rPr>
          <w:rFonts w:hint="eastAsia"/>
          <w:sz w:val="30"/>
          <w:szCs w:val="30"/>
        </w:rPr>
        <w:t>元，郭某娟个人违法获利人民币合计</w:t>
      </w:r>
      <w:r>
        <w:rPr>
          <w:rFonts w:hint="eastAsia"/>
          <w:sz w:val="30"/>
          <w:szCs w:val="30"/>
        </w:rPr>
        <w:t>61000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日，郭某娟将该</w:t>
      </w:r>
      <w:r>
        <w:rPr>
          <w:rFonts w:hint="eastAsia"/>
          <w:sz w:val="30"/>
          <w:szCs w:val="30"/>
        </w:rPr>
        <w:t>61000</w:t>
      </w:r>
      <w:r>
        <w:rPr>
          <w:rFonts w:hint="eastAsia"/>
          <w:sz w:val="30"/>
          <w:szCs w:val="30"/>
        </w:rPr>
        <w:t>元退至深圳市规划和国土资源委员会。</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日，被告人郭某娟到蕉岭县人民检察院投案自首。</w:t>
      </w:r>
    </w:p>
    <w:p w:rsidR="001D1DF6" w:rsidRDefault="001D1DF6">
      <w:pPr>
        <w:spacing w:line="500" w:lineRule="atLeast"/>
        <w:ind w:firstLine="600"/>
        <w:divId w:val="117070222"/>
        <w:rPr>
          <w:rFonts w:hint="eastAsia"/>
          <w:sz w:val="30"/>
          <w:szCs w:val="30"/>
        </w:rPr>
      </w:pPr>
      <w:r>
        <w:rPr>
          <w:rFonts w:hint="eastAsia"/>
          <w:sz w:val="30"/>
          <w:szCs w:val="30"/>
        </w:rPr>
        <w:t>上述事实，被告人郭某娟在开庭审理过程中亦无异议，且有书证被告人郭某娟自首情况的证明，户籍证明，蕉岭县人民法院有关法官的身份证明，郭某娟介绍给蕉岭县人民法院办理的涉深圳房产虚假诉讼案件材料证明，深圳市房地产登记的材料证明，证人江某才、利某岚、苏某湾、蓝某秀的证言，扣押移交物品清单，辨认笔录，被告人郭某娟的供述等证据证实，足以认定。</w:t>
      </w:r>
    </w:p>
    <w:p w:rsidR="001D1DF6" w:rsidRDefault="001D1DF6">
      <w:pPr>
        <w:spacing w:line="500" w:lineRule="atLeast"/>
        <w:ind w:firstLine="600"/>
        <w:divId w:val="875045630"/>
        <w:rPr>
          <w:rFonts w:hint="eastAsia"/>
          <w:sz w:val="30"/>
          <w:szCs w:val="30"/>
        </w:rPr>
      </w:pPr>
      <w:r>
        <w:rPr>
          <w:rFonts w:hint="eastAsia"/>
          <w:sz w:val="30"/>
          <w:szCs w:val="30"/>
        </w:rPr>
        <w:t>本院认为，被告人郭某娟无视国家法律，为谋取不正当利益，向司法机关的国家工作人员行贿，影响司法公正，情节严重，其行为构成行贿罪。公诉机关指控被告人郭某娟犯行贿罪的罪名成立，本院予以支持。被告人郭某娟向司法机关的国家工作人员行贿的，从重处罚。鉴于被告人郭某娟具有自首情节，且案发后退清全部违法获利，依法予以从轻处罚。被告人郭某娟及其辩护人提出从轻处罚的意见，本院予以采纳。</w:t>
      </w:r>
    </w:p>
    <w:p w:rsidR="001D1DF6" w:rsidRDefault="001D1DF6">
      <w:pPr>
        <w:spacing w:line="500" w:lineRule="atLeast"/>
        <w:ind w:firstLine="600"/>
        <w:divId w:val="1941788691"/>
        <w:rPr>
          <w:rFonts w:hint="eastAsia"/>
          <w:sz w:val="30"/>
          <w:szCs w:val="30"/>
        </w:rPr>
      </w:pPr>
      <w:r>
        <w:rPr>
          <w:rFonts w:hint="eastAsia"/>
          <w:sz w:val="30"/>
          <w:szCs w:val="30"/>
        </w:rPr>
        <w:t>根据本案的事实、性质、对社会危害性；依照《中华人民共和国刑法》第三百八十九条第一款，第三百九十条，第六十七条第一款，第七十二条，第七十三条第二、三款，第六十四条及最高人民法院《关于处理自首和立功应用若干问题的解释》第一、三条之规定，判决如下：</w:t>
      </w:r>
    </w:p>
    <w:p w:rsidR="001D1DF6" w:rsidRDefault="001D1DF6">
      <w:pPr>
        <w:spacing w:line="500" w:lineRule="atLeast"/>
        <w:ind w:firstLine="600"/>
        <w:divId w:val="1780682976"/>
        <w:rPr>
          <w:rFonts w:hint="eastAsia"/>
          <w:sz w:val="30"/>
          <w:szCs w:val="30"/>
        </w:rPr>
      </w:pPr>
      <w:r>
        <w:rPr>
          <w:rFonts w:hint="eastAsia"/>
          <w:sz w:val="30"/>
          <w:szCs w:val="30"/>
        </w:rPr>
        <w:t>一、被告人郭某娟犯行贿罪，判处有期徒刑三年，缓刑三年。</w:t>
      </w:r>
    </w:p>
    <w:p w:rsidR="001D1DF6" w:rsidRDefault="001D1DF6">
      <w:pPr>
        <w:spacing w:line="500" w:lineRule="atLeast"/>
        <w:ind w:firstLine="600"/>
        <w:divId w:val="1966033626"/>
        <w:rPr>
          <w:rFonts w:hint="eastAsia"/>
          <w:sz w:val="30"/>
          <w:szCs w:val="30"/>
        </w:rPr>
      </w:pPr>
      <w:r>
        <w:rPr>
          <w:rFonts w:hint="eastAsia"/>
          <w:sz w:val="30"/>
          <w:szCs w:val="30"/>
        </w:rPr>
        <w:t>（缓刑考验期限，从判决确定之日起计算。）</w:t>
      </w:r>
    </w:p>
    <w:p w:rsidR="001D1DF6" w:rsidRDefault="001D1DF6">
      <w:pPr>
        <w:spacing w:line="500" w:lineRule="atLeast"/>
        <w:ind w:firstLine="600"/>
        <w:divId w:val="514880208"/>
        <w:rPr>
          <w:rFonts w:hint="eastAsia"/>
          <w:sz w:val="30"/>
          <w:szCs w:val="30"/>
        </w:rPr>
      </w:pPr>
      <w:r>
        <w:rPr>
          <w:rFonts w:hint="eastAsia"/>
          <w:sz w:val="30"/>
          <w:szCs w:val="30"/>
        </w:rPr>
        <w:t>二、被告人郭某娟退出的非法所得款人民币</w:t>
      </w:r>
      <w:r>
        <w:rPr>
          <w:rFonts w:hint="eastAsia"/>
          <w:sz w:val="30"/>
          <w:szCs w:val="30"/>
        </w:rPr>
        <w:t>61000</w:t>
      </w:r>
      <w:r>
        <w:rPr>
          <w:rFonts w:hint="eastAsia"/>
          <w:sz w:val="30"/>
          <w:szCs w:val="30"/>
        </w:rPr>
        <w:t>元，予以没收，由扣押单位深圳市规划和国土资源委员会上缴国库。</w:t>
      </w:r>
    </w:p>
    <w:p w:rsidR="001D1DF6" w:rsidRDefault="001D1DF6">
      <w:pPr>
        <w:spacing w:line="500" w:lineRule="atLeast"/>
        <w:ind w:firstLine="600"/>
        <w:divId w:val="1344169848"/>
        <w:rPr>
          <w:rFonts w:hint="eastAsia"/>
          <w:sz w:val="30"/>
          <w:szCs w:val="30"/>
        </w:rPr>
      </w:pPr>
      <w:r>
        <w:rPr>
          <w:rFonts w:hint="eastAsia"/>
          <w:sz w:val="30"/>
          <w:szCs w:val="30"/>
        </w:rPr>
        <w:t>如不服本判决，可在接到判决书的第二日起十日内，通过本院或直接向广东省梅州市中级人民法院提出上诉。书面上诉的，应交上诉状正本一份，副本三份。</w:t>
      </w:r>
    </w:p>
    <w:p w:rsidR="001D1DF6" w:rsidRDefault="001D1DF6">
      <w:pPr>
        <w:spacing w:line="500" w:lineRule="atLeast"/>
        <w:jc w:val="right"/>
        <w:divId w:val="2138376731"/>
        <w:rPr>
          <w:rFonts w:hint="eastAsia"/>
          <w:sz w:val="30"/>
          <w:szCs w:val="30"/>
        </w:rPr>
      </w:pPr>
      <w:r>
        <w:rPr>
          <w:rFonts w:hint="eastAsia"/>
          <w:sz w:val="30"/>
          <w:szCs w:val="30"/>
        </w:rPr>
        <w:t>审判长　　陈冰萍</w:t>
      </w:r>
    </w:p>
    <w:p w:rsidR="001D1DF6" w:rsidRDefault="001D1DF6">
      <w:pPr>
        <w:spacing w:line="500" w:lineRule="atLeast"/>
        <w:jc w:val="right"/>
        <w:divId w:val="904493481"/>
        <w:rPr>
          <w:rFonts w:hint="eastAsia"/>
          <w:sz w:val="30"/>
          <w:szCs w:val="30"/>
        </w:rPr>
      </w:pPr>
      <w:r>
        <w:rPr>
          <w:rFonts w:hint="eastAsia"/>
          <w:sz w:val="30"/>
          <w:szCs w:val="30"/>
        </w:rPr>
        <w:t>审判员　　张锦模</w:t>
      </w:r>
    </w:p>
    <w:p w:rsidR="001D1DF6" w:rsidRDefault="001D1DF6">
      <w:pPr>
        <w:spacing w:line="500" w:lineRule="atLeast"/>
        <w:jc w:val="right"/>
        <w:divId w:val="1747679659"/>
        <w:rPr>
          <w:rFonts w:hint="eastAsia"/>
          <w:sz w:val="30"/>
          <w:szCs w:val="30"/>
        </w:rPr>
      </w:pPr>
      <w:r>
        <w:rPr>
          <w:rFonts w:hint="eastAsia"/>
          <w:sz w:val="30"/>
          <w:szCs w:val="30"/>
        </w:rPr>
        <w:t>审判员　　徐君庆</w:t>
      </w:r>
    </w:p>
    <w:p w:rsidR="001D1DF6" w:rsidRDefault="001D1DF6">
      <w:pPr>
        <w:spacing w:line="500" w:lineRule="atLeast"/>
        <w:jc w:val="right"/>
        <w:divId w:val="789055436"/>
        <w:rPr>
          <w:rFonts w:hint="eastAsia"/>
          <w:sz w:val="30"/>
          <w:szCs w:val="30"/>
        </w:rPr>
      </w:pPr>
      <w:r>
        <w:rPr>
          <w:rFonts w:hint="eastAsia"/>
          <w:sz w:val="30"/>
          <w:szCs w:val="30"/>
        </w:rPr>
        <w:t>二〇一五年十二月七日</w:t>
      </w:r>
    </w:p>
    <w:p w:rsidR="001D1DF6" w:rsidRDefault="001D1DF6">
      <w:pPr>
        <w:spacing w:line="500" w:lineRule="atLeast"/>
        <w:jc w:val="right"/>
        <w:divId w:val="769156585"/>
        <w:rPr>
          <w:rFonts w:hint="eastAsia"/>
          <w:sz w:val="30"/>
          <w:szCs w:val="30"/>
        </w:rPr>
      </w:pPr>
      <w:r>
        <w:rPr>
          <w:rFonts w:hint="eastAsia"/>
          <w:sz w:val="30"/>
          <w:szCs w:val="30"/>
        </w:rPr>
        <w:t>书记员　　黄睿智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1DF6" w:rsidRDefault="001D1DF6" w:rsidP="001D1DF6">
      <w:pPr>
        <w:rPr>
          <w:rFonts w:hint="eastAsia"/>
        </w:rPr>
      </w:pPr>
      <w:r>
        <w:separator/>
      </w:r>
    </w:p>
  </w:endnote>
  <w:endnote w:type="continuationSeparator" w:id="0">
    <w:p w:rsidR="001D1DF6" w:rsidRDefault="001D1DF6" w:rsidP="001D1D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1DF6" w:rsidRDefault="001D1DF6" w:rsidP="001D1DF6">
      <w:pPr>
        <w:rPr>
          <w:rFonts w:hint="eastAsia"/>
        </w:rPr>
      </w:pPr>
      <w:r>
        <w:separator/>
      </w:r>
    </w:p>
  </w:footnote>
  <w:footnote w:type="continuationSeparator" w:id="0">
    <w:p w:rsidR="001D1DF6" w:rsidRDefault="001D1DF6" w:rsidP="001D1D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1DF6"/>
    <w:rsid w:val="001D1DF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1DF6"/>
    <w:pPr>
      <w:tabs>
        <w:tab w:val="center" w:pos="4153"/>
        <w:tab w:val="right" w:pos="8306"/>
      </w:tabs>
      <w:snapToGrid w:val="0"/>
      <w:jc w:val="center"/>
    </w:pPr>
    <w:rPr>
      <w:sz w:val="18"/>
      <w:szCs w:val="18"/>
    </w:rPr>
  </w:style>
  <w:style w:type="character" w:customStyle="1" w:styleId="a4">
    <w:name w:val="页眉 字符"/>
    <w:basedOn w:val="a0"/>
    <w:link w:val="a3"/>
    <w:uiPriority w:val="99"/>
    <w:rsid w:val="001D1DF6"/>
    <w:rPr>
      <w:rFonts w:ascii="宋体" w:eastAsia="宋体" w:hAnsi="宋体" w:cs="宋体"/>
      <w:sz w:val="18"/>
      <w:szCs w:val="18"/>
    </w:rPr>
  </w:style>
  <w:style w:type="paragraph" w:styleId="a5">
    <w:name w:val="footer"/>
    <w:basedOn w:val="a"/>
    <w:link w:val="a6"/>
    <w:uiPriority w:val="99"/>
    <w:unhideWhenUsed/>
    <w:rsid w:val="001D1DF6"/>
    <w:pPr>
      <w:tabs>
        <w:tab w:val="center" w:pos="4153"/>
        <w:tab w:val="right" w:pos="8306"/>
      </w:tabs>
      <w:snapToGrid w:val="0"/>
    </w:pPr>
    <w:rPr>
      <w:sz w:val="18"/>
      <w:szCs w:val="18"/>
    </w:rPr>
  </w:style>
  <w:style w:type="character" w:customStyle="1" w:styleId="a6">
    <w:name w:val="页脚 字符"/>
    <w:basedOn w:val="a0"/>
    <w:link w:val="a5"/>
    <w:uiPriority w:val="99"/>
    <w:rsid w:val="001D1D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5377">
      <w:marLeft w:val="0"/>
      <w:marRight w:val="0"/>
      <w:marTop w:val="10"/>
      <w:marBottom w:val="10"/>
      <w:divBdr>
        <w:top w:val="none" w:sz="0" w:space="0" w:color="auto"/>
        <w:left w:val="none" w:sz="0" w:space="0" w:color="auto"/>
        <w:bottom w:val="none" w:sz="0" w:space="0" w:color="auto"/>
        <w:right w:val="none" w:sz="0" w:space="0" w:color="auto"/>
      </w:divBdr>
    </w:div>
    <w:div w:id="117070222">
      <w:marLeft w:val="0"/>
      <w:marRight w:val="0"/>
      <w:marTop w:val="10"/>
      <w:marBottom w:val="10"/>
      <w:divBdr>
        <w:top w:val="none" w:sz="0" w:space="0" w:color="auto"/>
        <w:left w:val="none" w:sz="0" w:space="0" w:color="auto"/>
        <w:bottom w:val="none" w:sz="0" w:space="0" w:color="auto"/>
        <w:right w:val="none" w:sz="0" w:space="0" w:color="auto"/>
      </w:divBdr>
    </w:div>
    <w:div w:id="141118352">
      <w:marLeft w:val="0"/>
      <w:marRight w:val="0"/>
      <w:marTop w:val="10"/>
      <w:marBottom w:val="10"/>
      <w:divBdr>
        <w:top w:val="none" w:sz="0" w:space="0" w:color="auto"/>
        <w:left w:val="none" w:sz="0" w:space="0" w:color="auto"/>
        <w:bottom w:val="none" w:sz="0" w:space="0" w:color="auto"/>
        <w:right w:val="none" w:sz="0" w:space="0" w:color="auto"/>
      </w:divBdr>
    </w:div>
    <w:div w:id="207229029">
      <w:marLeft w:val="0"/>
      <w:marRight w:val="0"/>
      <w:marTop w:val="10"/>
      <w:marBottom w:val="10"/>
      <w:divBdr>
        <w:top w:val="none" w:sz="0" w:space="0" w:color="auto"/>
        <w:left w:val="none" w:sz="0" w:space="0" w:color="auto"/>
        <w:bottom w:val="none" w:sz="0" w:space="0" w:color="auto"/>
        <w:right w:val="none" w:sz="0" w:space="0" w:color="auto"/>
      </w:divBdr>
    </w:div>
    <w:div w:id="225920399">
      <w:marLeft w:val="0"/>
      <w:marRight w:val="0"/>
      <w:marTop w:val="10"/>
      <w:marBottom w:val="10"/>
      <w:divBdr>
        <w:top w:val="none" w:sz="0" w:space="0" w:color="auto"/>
        <w:left w:val="none" w:sz="0" w:space="0" w:color="auto"/>
        <w:bottom w:val="none" w:sz="0" w:space="0" w:color="auto"/>
        <w:right w:val="none" w:sz="0" w:space="0" w:color="auto"/>
      </w:divBdr>
    </w:div>
    <w:div w:id="483395528">
      <w:marLeft w:val="0"/>
      <w:marRight w:val="0"/>
      <w:marTop w:val="10"/>
      <w:marBottom w:val="10"/>
      <w:divBdr>
        <w:top w:val="none" w:sz="0" w:space="0" w:color="auto"/>
        <w:left w:val="none" w:sz="0" w:space="0" w:color="auto"/>
        <w:bottom w:val="none" w:sz="0" w:space="0" w:color="auto"/>
        <w:right w:val="none" w:sz="0" w:space="0" w:color="auto"/>
      </w:divBdr>
    </w:div>
    <w:div w:id="514880208">
      <w:marLeft w:val="0"/>
      <w:marRight w:val="0"/>
      <w:marTop w:val="10"/>
      <w:marBottom w:val="10"/>
      <w:divBdr>
        <w:top w:val="none" w:sz="0" w:space="0" w:color="auto"/>
        <w:left w:val="none" w:sz="0" w:space="0" w:color="auto"/>
        <w:bottom w:val="none" w:sz="0" w:space="0" w:color="auto"/>
        <w:right w:val="none" w:sz="0" w:space="0" w:color="auto"/>
      </w:divBdr>
    </w:div>
    <w:div w:id="769156585">
      <w:marLeft w:val="0"/>
      <w:marRight w:val="720"/>
      <w:marTop w:val="10"/>
      <w:marBottom w:val="10"/>
      <w:divBdr>
        <w:top w:val="none" w:sz="0" w:space="0" w:color="auto"/>
        <w:left w:val="none" w:sz="0" w:space="0" w:color="auto"/>
        <w:bottom w:val="none" w:sz="0" w:space="0" w:color="auto"/>
        <w:right w:val="none" w:sz="0" w:space="0" w:color="auto"/>
      </w:divBdr>
    </w:div>
    <w:div w:id="789055436">
      <w:marLeft w:val="0"/>
      <w:marRight w:val="720"/>
      <w:marTop w:val="10"/>
      <w:marBottom w:val="10"/>
      <w:divBdr>
        <w:top w:val="none" w:sz="0" w:space="0" w:color="auto"/>
        <w:left w:val="none" w:sz="0" w:space="0" w:color="auto"/>
        <w:bottom w:val="none" w:sz="0" w:space="0" w:color="auto"/>
        <w:right w:val="none" w:sz="0" w:space="0" w:color="auto"/>
      </w:divBdr>
    </w:div>
    <w:div w:id="875045630">
      <w:marLeft w:val="0"/>
      <w:marRight w:val="0"/>
      <w:marTop w:val="10"/>
      <w:marBottom w:val="10"/>
      <w:divBdr>
        <w:top w:val="none" w:sz="0" w:space="0" w:color="auto"/>
        <w:left w:val="none" w:sz="0" w:space="0" w:color="auto"/>
        <w:bottom w:val="none" w:sz="0" w:space="0" w:color="auto"/>
        <w:right w:val="none" w:sz="0" w:space="0" w:color="auto"/>
      </w:divBdr>
    </w:div>
    <w:div w:id="904493481">
      <w:marLeft w:val="0"/>
      <w:marRight w:val="720"/>
      <w:marTop w:val="10"/>
      <w:marBottom w:val="10"/>
      <w:divBdr>
        <w:top w:val="none" w:sz="0" w:space="0" w:color="auto"/>
        <w:left w:val="none" w:sz="0" w:space="0" w:color="auto"/>
        <w:bottom w:val="none" w:sz="0" w:space="0" w:color="auto"/>
        <w:right w:val="none" w:sz="0" w:space="0" w:color="auto"/>
      </w:divBdr>
    </w:div>
    <w:div w:id="1344169848">
      <w:marLeft w:val="0"/>
      <w:marRight w:val="0"/>
      <w:marTop w:val="10"/>
      <w:marBottom w:val="10"/>
      <w:divBdr>
        <w:top w:val="none" w:sz="0" w:space="0" w:color="auto"/>
        <w:left w:val="none" w:sz="0" w:space="0" w:color="auto"/>
        <w:bottom w:val="none" w:sz="0" w:space="0" w:color="auto"/>
        <w:right w:val="none" w:sz="0" w:space="0" w:color="auto"/>
      </w:divBdr>
    </w:div>
    <w:div w:id="1424841898">
      <w:marLeft w:val="0"/>
      <w:marRight w:val="0"/>
      <w:marTop w:val="10"/>
      <w:marBottom w:val="10"/>
      <w:divBdr>
        <w:top w:val="none" w:sz="0" w:space="0" w:color="auto"/>
        <w:left w:val="none" w:sz="0" w:space="0" w:color="auto"/>
        <w:bottom w:val="none" w:sz="0" w:space="0" w:color="auto"/>
        <w:right w:val="none" w:sz="0" w:space="0" w:color="auto"/>
      </w:divBdr>
    </w:div>
    <w:div w:id="1563760349">
      <w:marLeft w:val="0"/>
      <w:marRight w:val="0"/>
      <w:marTop w:val="10"/>
      <w:marBottom w:val="10"/>
      <w:divBdr>
        <w:top w:val="none" w:sz="0" w:space="0" w:color="auto"/>
        <w:left w:val="none" w:sz="0" w:space="0" w:color="auto"/>
        <w:bottom w:val="none" w:sz="0" w:space="0" w:color="auto"/>
        <w:right w:val="none" w:sz="0" w:space="0" w:color="auto"/>
      </w:divBdr>
    </w:div>
    <w:div w:id="1570339190">
      <w:marLeft w:val="0"/>
      <w:marRight w:val="0"/>
      <w:marTop w:val="10"/>
      <w:marBottom w:val="10"/>
      <w:divBdr>
        <w:top w:val="none" w:sz="0" w:space="0" w:color="auto"/>
        <w:left w:val="none" w:sz="0" w:space="0" w:color="auto"/>
        <w:bottom w:val="none" w:sz="0" w:space="0" w:color="auto"/>
        <w:right w:val="none" w:sz="0" w:space="0" w:color="auto"/>
      </w:divBdr>
    </w:div>
    <w:div w:id="1747679659">
      <w:marLeft w:val="0"/>
      <w:marRight w:val="720"/>
      <w:marTop w:val="10"/>
      <w:marBottom w:val="10"/>
      <w:divBdr>
        <w:top w:val="none" w:sz="0" w:space="0" w:color="auto"/>
        <w:left w:val="none" w:sz="0" w:space="0" w:color="auto"/>
        <w:bottom w:val="none" w:sz="0" w:space="0" w:color="auto"/>
        <w:right w:val="none" w:sz="0" w:space="0" w:color="auto"/>
      </w:divBdr>
    </w:div>
    <w:div w:id="1780682976">
      <w:marLeft w:val="0"/>
      <w:marRight w:val="0"/>
      <w:marTop w:val="10"/>
      <w:marBottom w:val="10"/>
      <w:divBdr>
        <w:top w:val="none" w:sz="0" w:space="0" w:color="auto"/>
        <w:left w:val="none" w:sz="0" w:space="0" w:color="auto"/>
        <w:bottom w:val="none" w:sz="0" w:space="0" w:color="auto"/>
        <w:right w:val="none" w:sz="0" w:space="0" w:color="auto"/>
      </w:divBdr>
    </w:div>
    <w:div w:id="1875774724">
      <w:marLeft w:val="0"/>
      <w:marRight w:val="0"/>
      <w:marTop w:val="10"/>
      <w:marBottom w:val="10"/>
      <w:divBdr>
        <w:top w:val="none" w:sz="0" w:space="0" w:color="auto"/>
        <w:left w:val="none" w:sz="0" w:space="0" w:color="auto"/>
        <w:bottom w:val="none" w:sz="0" w:space="0" w:color="auto"/>
        <w:right w:val="none" w:sz="0" w:space="0" w:color="auto"/>
      </w:divBdr>
    </w:div>
    <w:div w:id="1941788691">
      <w:marLeft w:val="0"/>
      <w:marRight w:val="0"/>
      <w:marTop w:val="10"/>
      <w:marBottom w:val="10"/>
      <w:divBdr>
        <w:top w:val="none" w:sz="0" w:space="0" w:color="auto"/>
        <w:left w:val="none" w:sz="0" w:space="0" w:color="auto"/>
        <w:bottom w:val="none" w:sz="0" w:space="0" w:color="auto"/>
        <w:right w:val="none" w:sz="0" w:space="0" w:color="auto"/>
      </w:divBdr>
    </w:div>
    <w:div w:id="1966033626">
      <w:marLeft w:val="0"/>
      <w:marRight w:val="0"/>
      <w:marTop w:val="10"/>
      <w:marBottom w:val="10"/>
      <w:divBdr>
        <w:top w:val="none" w:sz="0" w:space="0" w:color="auto"/>
        <w:left w:val="none" w:sz="0" w:space="0" w:color="auto"/>
        <w:bottom w:val="none" w:sz="0" w:space="0" w:color="auto"/>
        <w:right w:val="none" w:sz="0" w:space="0" w:color="auto"/>
      </w:divBdr>
    </w:div>
    <w:div w:id="1972978148">
      <w:marLeft w:val="0"/>
      <w:marRight w:val="0"/>
      <w:marTop w:val="10"/>
      <w:marBottom w:val="10"/>
      <w:divBdr>
        <w:top w:val="none" w:sz="0" w:space="0" w:color="auto"/>
        <w:left w:val="none" w:sz="0" w:space="0" w:color="auto"/>
        <w:bottom w:val="none" w:sz="0" w:space="0" w:color="auto"/>
        <w:right w:val="none" w:sz="0" w:space="0" w:color="auto"/>
      </w:divBdr>
    </w:div>
    <w:div w:id="2105494336">
      <w:marLeft w:val="0"/>
      <w:marRight w:val="0"/>
      <w:marTop w:val="10"/>
      <w:marBottom w:val="10"/>
      <w:divBdr>
        <w:top w:val="none" w:sz="0" w:space="0" w:color="auto"/>
        <w:left w:val="none" w:sz="0" w:space="0" w:color="auto"/>
        <w:bottom w:val="none" w:sz="0" w:space="0" w:color="auto"/>
        <w:right w:val="none" w:sz="0" w:space="0" w:color="auto"/>
      </w:divBdr>
    </w:div>
    <w:div w:id="213837673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