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4099" w:rsidRDefault="00064099">
      <w:pPr>
        <w:spacing w:line="500" w:lineRule="atLeast"/>
        <w:jc w:val="center"/>
        <w:divId w:val="123738681"/>
        <w:rPr>
          <w:rFonts w:ascii="黑体" w:eastAsia="黑体" w:hAnsi="黑体"/>
          <w:sz w:val="36"/>
          <w:szCs w:val="36"/>
        </w:rPr>
      </w:pPr>
      <w:r>
        <w:rPr>
          <w:rFonts w:ascii="黑体" w:eastAsia="黑体" w:hAnsi="黑体" w:hint="eastAsia"/>
          <w:sz w:val="36"/>
          <w:szCs w:val="36"/>
        </w:rPr>
        <w:t>广东省郁南县人民法院</w:t>
      </w:r>
    </w:p>
    <w:p w:rsidR="00064099" w:rsidRDefault="00064099">
      <w:pPr>
        <w:spacing w:line="500" w:lineRule="atLeast"/>
        <w:jc w:val="center"/>
        <w:divId w:val="1997068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4099" w:rsidRDefault="00064099">
      <w:pPr>
        <w:spacing w:line="500" w:lineRule="atLeast"/>
        <w:jc w:val="right"/>
        <w:divId w:val="1132360431"/>
        <w:rPr>
          <w:rFonts w:hint="eastAsia"/>
          <w:sz w:val="30"/>
          <w:szCs w:val="30"/>
        </w:rPr>
      </w:pPr>
      <w:r>
        <w:rPr>
          <w:rFonts w:hint="eastAsia"/>
          <w:sz w:val="30"/>
          <w:szCs w:val="30"/>
        </w:rPr>
        <w:t>（</w:t>
      </w:r>
      <w:r>
        <w:rPr>
          <w:rFonts w:hint="eastAsia"/>
          <w:sz w:val="30"/>
          <w:szCs w:val="30"/>
        </w:rPr>
        <w:t>2015</w:t>
      </w:r>
      <w:r>
        <w:rPr>
          <w:rFonts w:hint="eastAsia"/>
          <w:sz w:val="30"/>
          <w:szCs w:val="30"/>
        </w:rPr>
        <w:t>）云郁法刑初字第</w:t>
      </w:r>
      <w:r>
        <w:rPr>
          <w:rFonts w:hint="eastAsia"/>
          <w:sz w:val="30"/>
          <w:szCs w:val="30"/>
        </w:rPr>
        <w:t>149</w:t>
      </w:r>
      <w:r>
        <w:rPr>
          <w:rFonts w:hint="eastAsia"/>
          <w:sz w:val="30"/>
          <w:szCs w:val="30"/>
        </w:rPr>
        <w:t>号</w:t>
      </w:r>
    </w:p>
    <w:p w:rsidR="00064099" w:rsidRDefault="00064099">
      <w:pPr>
        <w:spacing w:line="500" w:lineRule="atLeast"/>
        <w:ind w:firstLine="600"/>
        <w:divId w:val="1987977366"/>
        <w:rPr>
          <w:rFonts w:hint="eastAsia"/>
          <w:sz w:val="30"/>
          <w:szCs w:val="30"/>
        </w:rPr>
      </w:pPr>
      <w:r>
        <w:rPr>
          <w:rFonts w:hint="eastAsia"/>
          <w:sz w:val="30"/>
          <w:szCs w:val="30"/>
        </w:rPr>
        <w:t>公诉机关郁南县人民检察院。</w:t>
      </w:r>
    </w:p>
    <w:p w:rsidR="00064099" w:rsidRDefault="00064099">
      <w:pPr>
        <w:spacing w:line="500" w:lineRule="atLeast"/>
        <w:ind w:firstLine="600"/>
        <w:divId w:val="601572491"/>
        <w:rPr>
          <w:rFonts w:hint="eastAsia"/>
          <w:sz w:val="30"/>
          <w:szCs w:val="30"/>
        </w:rPr>
      </w:pPr>
      <w:r>
        <w:rPr>
          <w:rFonts w:hint="eastAsia"/>
          <w:sz w:val="30"/>
          <w:szCs w:val="30"/>
        </w:rPr>
        <w:t>被告人许某某，男，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日出生，原在郁南县某中学文印室工作，户籍地广东省郁南县，住郁南县。因本案，于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23</w:t>
      </w:r>
      <w:r>
        <w:rPr>
          <w:rFonts w:hint="eastAsia"/>
          <w:sz w:val="30"/>
          <w:szCs w:val="30"/>
        </w:rPr>
        <w:t>日被逮捕，现押于郁南县看守所。</w:t>
      </w:r>
    </w:p>
    <w:p w:rsidR="00064099" w:rsidRDefault="00064099">
      <w:pPr>
        <w:spacing w:line="500" w:lineRule="atLeast"/>
        <w:ind w:firstLine="600"/>
        <w:divId w:val="556402904"/>
        <w:rPr>
          <w:rFonts w:hint="eastAsia"/>
          <w:sz w:val="30"/>
          <w:szCs w:val="30"/>
        </w:rPr>
      </w:pPr>
      <w:r>
        <w:rPr>
          <w:rFonts w:hint="eastAsia"/>
          <w:sz w:val="30"/>
          <w:szCs w:val="30"/>
        </w:rPr>
        <w:t>辩护人陈福宗，广东祺泽律师事务所律师。</w:t>
      </w:r>
    </w:p>
    <w:p w:rsidR="00064099" w:rsidRDefault="00064099">
      <w:pPr>
        <w:spacing w:line="500" w:lineRule="atLeast"/>
        <w:ind w:firstLine="600"/>
        <w:divId w:val="1656182048"/>
        <w:rPr>
          <w:rFonts w:hint="eastAsia"/>
          <w:sz w:val="30"/>
          <w:szCs w:val="30"/>
        </w:rPr>
      </w:pPr>
      <w:r>
        <w:rPr>
          <w:rFonts w:hint="eastAsia"/>
          <w:sz w:val="30"/>
          <w:szCs w:val="30"/>
        </w:rPr>
        <w:t>郁南县人民检察院以郁检公诉刑诉（</w:t>
      </w:r>
      <w:r>
        <w:rPr>
          <w:rFonts w:hint="eastAsia"/>
          <w:sz w:val="30"/>
          <w:szCs w:val="30"/>
        </w:rPr>
        <w:t>2015</w:t>
      </w:r>
      <w:r>
        <w:rPr>
          <w:rFonts w:hint="eastAsia"/>
          <w:sz w:val="30"/>
          <w:szCs w:val="30"/>
        </w:rPr>
        <w:t>）</w:t>
      </w:r>
      <w:r>
        <w:rPr>
          <w:rFonts w:hint="eastAsia"/>
          <w:sz w:val="30"/>
          <w:szCs w:val="30"/>
        </w:rPr>
        <w:t>102</w:t>
      </w:r>
      <w:r>
        <w:rPr>
          <w:rFonts w:hint="eastAsia"/>
          <w:sz w:val="30"/>
          <w:szCs w:val="30"/>
        </w:rPr>
        <w:t>号起诉书指控被告人许某某涉嫌犯贪污罪一案，于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日向本院提起公诉。本院依法组成合议庭，适用普通程序公开开庭进行了审理。郁南县人民检察院指派代理检察员吕路出庭支持公诉，被告人许某某及其辩护人到庭参加诉讼。现已审理终结。</w:t>
      </w:r>
    </w:p>
    <w:p w:rsidR="00064099" w:rsidRDefault="00064099">
      <w:pPr>
        <w:spacing w:line="500" w:lineRule="atLeast"/>
        <w:ind w:firstLine="600"/>
        <w:divId w:val="129066854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年间，被告人许某某在负责管理郁南县某中学油印室工作期间，利用职务之便，与郁南县某中心老板郑某某（另案处理）商量合谋，通过虚列、加大印刷资料数量的方式，套取郁南县某中学款项共计人民币</w:t>
      </w:r>
      <w:r>
        <w:rPr>
          <w:rFonts w:hint="eastAsia"/>
          <w:sz w:val="30"/>
          <w:szCs w:val="30"/>
        </w:rPr>
        <w:t>50615</w:t>
      </w:r>
      <w:r>
        <w:rPr>
          <w:rFonts w:hint="eastAsia"/>
          <w:sz w:val="30"/>
          <w:szCs w:val="30"/>
        </w:rPr>
        <w:t>元，其中已实际套取的金额为</w:t>
      </w:r>
      <w:r>
        <w:rPr>
          <w:rFonts w:hint="eastAsia"/>
          <w:sz w:val="30"/>
          <w:szCs w:val="30"/>
        </w:rPr>
        <w:t>36710</w:t>
      </w:r>
      <w:r>
        <w:rPr>
          <w:rFonts w:hint="eastAsia"/>
          <w:sz w:val="30"/>
          <w:szCs w:val="30"/>
        </w:rPr>
        <w:t>元，已虚开送货单尚未实际结算套取的金额为</w:t>
      </w:r>
      <w:r>
        <w:rPr>
          <w:rFonts w:hint="eastAsia"/>
          <w:sz w:val="30"/>
          <w:szCs w:val="30"/>
        </w:rPr>
        <w:t>13905</w:t>
      </w:r>
      <w:r>
        <w:rPr>
          <w:rFonts w:hint="eastAsia"/>
          <w:sz w:val="30"/>
          <w:szCs w:val="30"/>
        </w:rPr>
        <w:t>元。已实际套取的</w:t>
      </w:r>
      <w:r>
        <w:rPr>
          <w:rFonts w:hint="eastAsia"/>
          <w:sz w:val="30"/>
          <w:szCs w:val="30"/>
        </w:rPr>
        <w:t>36710</w:t>
      </w:r>
      <w:r>
        <w:rPr>
          <w:rFonts w:hint="eastAsia"/>
          <w:sz w:val="30"/>
          <w:szCs w:val="30"/>
        </w:rPr>
        <w:t>元中，被告人许某某分得</w:t>
      </w:r>
      <w:r>
        <w:rPr>
          <w:rFonts w:hint="eastAsia"/>
          <w:sz w:val="30"/>
          <w:szCs w:val="30"/>
        </w:rPr>
        <w:t>22010</w:t>
      </w:r>
      <w:r>
        <w:rPr>
          <w:rFonts w:hint="eastAsia"/>
          <w:sz w:val="30"/>
          <w:szCs w:val="30"/>
        </w:rPr>
        <w:t>元，郑某某分得</w:t>
      </w:r>
      <w:r>
        <w:rPr>
          <w:rFonts w:hint="eastAsia"/>
          <w:sz w:val="30"/>
          <w:szCs w:val="30"/>
        </w:rPr>
        <w:t>13000</w:t>
      </w:r>
      <w:r>
        <w:rPr>
          <w:rFonts w:hint="eastAsia"/>
          <w:sz w:val="30"/>
          <w:szCs w:val="30"/>
        </w:rPr>
        <w:t>元，其余</w:t>
      </w:r>
      <w:r>
        <w:rPr>
          <w:rFonts w:hint="eastAsia"/>
          <w:sz w:val="30"/>
          <w:szCs w:val="30"/>
        </w:rPr>
        <w:t>1700</w:t>
      </w:r>
      <w:r>
        <w:rPr>
          <w:rFonts w:hint="eastAsia"/>
          <w:sz w:val="30"/>
          <w:szCs w:val="30"/>
        </w:rPr>
        <w:t>元由郑某某用于缴纳税金。案发后，被告人许某某退出了所分得的全部赃款。</w:t>
      </w:r>
    </w:p>
    <w:p w:rsidR="00064099" w:rsidRDefault="00064099">
      <w:pPr>
        <w:spacing w:line="500" w:lineRule="atLeast"/>
        <w:ind w:firstLine="600"/>
        <w:divId w:val="1934585107"/>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日，郁南县纪律检查委员会发现被告人许某某与郑某某涉嫌共同贪污公款的线索后，电话通知两人到案说明相关问题，被告人许某某经办案人员教育后交代</w:t>
      </w:r>
      <w:r>
        <w:rPr>
          <w:rFonts w:hint="eastAsia"/>
          <w:sz w:val="30"/>
          <w:szCs w:val="30"/>
        </w:rPr>
        <w:lastRenderedPageBreak/>
        <w:t>了他与郑某某共同贪污郁南县某中学公款事实，同日该案移交郁南县人民检察院查办，检察机关于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日对被告人许某某立案侦查并刑事拘留，被告人许某某归案后如实供述了犯罪事实。</w:t>
      </w:r>
    </w:p>
    <w:p w:rsidR="00064099" w:rsidRDefault="00064099">
      <w:pPr>
        <w:spacing w:line="500" w:lineRule="atLeast"/>
        <w:ind w:firstLine="600"/>
        <w:divId w:val="280577358"/>
        <w:rPr>
          <w:rFonts w:hint="eastAsia"/>
          <w:sz w:val="30"/>
          <w:szCs w:val="30"/>
        </w:rPr>
      </w:pPr>
      <w:r>
        <w:rPr>
          <w:rFonts w:hint="eastAsia"/>
          <w:sz w:val="30"/>
          <w:szCs w:val="30"/>
        </w:rPr>
        <w:t>对于公诉机关指控的罪名及犯罪事实，被告人许某某及其辩护人在开庭审理过程中无异议，自愿认罪，但认为被告人具有自首情节。上述事实有公诉机关提供在庭上出示质证的下列证据证实：</w:t>
      </w:r>
      <w:r>
        <w:rPr>
          <w:rFonts w:hint="eastAsia"/>
          <w:sz w:val="30"/>
          <w:szCs w:val="30"/>
        </w:rPr>
        <w:t>1</w:t>
      </w:r>
      <w:r>
        <w:rPr>
          <w:rFonts w:hint="eastAsia"/>
          <w:sz w:val="30"/>
          <w:szCs w:val="30"/>
        </w:rPr>
        <w:t>、立案决定书、抓获经过、发破案经过；</w:t>
      </w:r>
      <w:r>
        <w:rPr>
          <w:rFonts w:hint="eastAsia"/>
          <w:sz w:val="30"/>
          <w:szCs w:val="30"/>
        </w:rPr>
        <w:t>2</w:t>
      </w:r>
      <w:r>
        <w:rPr>
          <w:rFonts w:hint="eastAsia"/>
          <w:sz w:val="30"/>
          <w:szCs w:val="30"/>
        </w:rPr>
        <w:t>、广东省事业单位岗位聘用审核表、年度考核登记表、工作人员工资变动审批表、云浮市事业单位聘用合同、证明；</w:t>
      </w:r>
      <w:r>
        <w:rPr>
          <w:rFonts w:hint="eastAsia"/>
          <w:sz w:val="30"/>
          <w:szCs w:val="30"/>
        </w:rPr>
        <w:t>3</w:t>
      </w:r>
      <w:r>
        <w:rPr>
          <w:rFonts w:hint="eastAsia"/>
          <w:sz w:val="30"/>
          <w:szCs w:val="30"/>
        </w:rPr>
        <w:t>、情况说明、郁南县某中学记账凭证、费用报销审批单、农业银行结算业务申请书、发票、某中心送货单、某中学油印室套取款项表（已支付部分）、某中心送货单、某中学油印室套取款项表（未支付部分）；</w:t>
      </w:r>
      <w:r>
        <w:rPr>
          <w:rFonts w:hint="eastAsia"/>
          <w:sz w:val="30"/>
          <w:szCs w:val="30"/>
        </w:rPr>
        <w:t>4</w:t>
      </w:r>
      <w:r>
        <w:rPr>
          <w:rFonts w:hint="eastAsia"/>
          <w:sz w:val="30"/>
          <w:szCs w:val="30"/>
        </w:rPr>
        <w:t>、县纪委情况说明一份、户籍资料、赃款移交清单、中国建设银行现金交款单；</w:t>
      </w:r>
      <w:r>
        <w:rPr>
          <w:rFonts w:hint="eastAsia"/>
          <w:sz w:val="30"/>
          <w:szCs w:val="30"/>
        </w:rPr>
        <w:t>5</w:t>
      </w:r>
      <w:r>
        <w:rPr>
          <w:rFonts w:hint="eastAsia"/>
          <w:sz w:val="30"/>
          <w:szCs w:val="30"/>
        </w:rPr>
        <w:t>、审讯光盘</w:t>
      </w:r>
      <w:r>
        <w:rPr>
          <w:rFonts w:hint="eastAsia"/>
          <w:sz w:val="30"/>
          <w:szCs w:val="30"/>
        </w:rPr>
        <w:t>12</w:t>
      </w:r>
      <w:r>
        <w:rPr>
          <w:rFonts w:hint="eastAsia"/>
          <w:sz w:val="30"/>
          <w:szCs w:val="30"/>
        </w:rPr>
        <w:t>张；</w:t>
      </w:r>
      <w:r>
        <w:rPr>
          <w:rFonts w:hint="eastAsia"/>
          <w:sz w:val="30"/>
          <w:szCs w:val="30"/>
        </w:rPr>
        <w:t>6</w:t>
      </w:r>
      <w:r>
        <w:rPr>
          <w:rFonts w:hint="eastAsia"/>
          <w:sz w:val="30"/>
          <w:szCs w:val="30"/>
        </w:rPr>
        <w:t>、证人郑某某、朱某某、何某某、姚某某的证言；</w:t>
      </w:r>
      <w:r>
        <w:rPr>
          <w:rFonts w:hint="eastAsia"/>
          <w:sz w:val="30"/>
          <w:szCs w:val="30"/>
        </w:rPr>
        <w:t>7</w:t>
      </w:r>
      <w:r>
        <w:rPr>
          <w:rFonts w:hint="eastAsia"/>
          <w:sz w:val="30"/>
          <w:szCs w:val="30"/>
        </w:rPr>
        <w:t>、被告人许某某的供述与辩解。</w:t>
      </w:r>
    </w:p>
    <w:p w:rsidR="00064099" w:rsidRDefault="00064099">
      <w:pPr>
        <w:spacing w:line="500" w:lineRule="atLeast"/>
        <w:ind w:firstLine="600"/>
        <w:divId w:val="1898007127"/>
        <w:rPr>
          <w:rFonts w:hint="eastAsia"/>
          <w:sz w:val="30"/>
          <w:szCs w:val="30"/>
        </w:rPr>
      </w:pPr>
      <w:r>
        <w:rPr>
          <w:rFonts w:hint="eastAsia"/>
          <w:sz w:val="30"/>
          <w:szCs w:val="30"/>
        </w:rPr>
        <w:t>本院认为，被告人许某某身为国家工作人员，利用职务之便，与郁南县某中心老板郑某某商量合谋，通过虚列、加大印刷资料数量的方式，企图套取郁南县某中学款项共计人民币</w:t>
      </w:r>
      <w:r>
        <w:rPr>
          <w:rFonts w:hint="eastAsia"/>
          <w:sz w:val="30"/>
          <w:szCs w:val="30"/>
        </w:rPr>
        <w:t>50615</w:t>
      </w:r>
      <w:r>
        <w:rPr>
          <w:rFonts w:hint="eastAsia"/>
          <w:sz w:val="30"/>
          <w:szCs w:val="30"/>
        </w:rPr>
        <w:t>元，并将已实际套取的公款</w:t>
      </w:r>
      <w:r>
        <w:rPr>
          <w:rFonts w:hint="eastAsia"/>
          <w:sz w:val="30"/>
          <w:szCs w:val="30"/>
        </w:rPr>
        <w:t>36710</w:t>
      </w:r>
      <w:r>
        <w:rPr>
          <w:rFonts w:hint="eastAsia"/>
          <w:sz w:val="30"/>
          <w:szCs w:val="30"/>
        </w:rPr>
        <w:t>元进行私分，其行为已构成贪污罪。根据《中华人民共和国刑法》第三百八十三条的规定，被告人许某某的行为应处一年以上七年以下有期徒刑。关于被告人许某某是否具有自首情节的问题，根据郁南县纪律检查委员会出具的情况说明、调查谈话笔录以及检察机关的发破案经过、抓获经过，办案单位已经发现被告人的犯罪线索而对被告人进行调查谈话，期间开始被告人否认有违法违纪行为，经教育后才交代犯罪事实，不符合自首情节中自动投案的构成要件，属坦白，对辩护人提出被告人有自首情节的辩护意见不予采纳。但对辩护人提出被告人许某某归案后能如实供述犯罪事实，使整个案件得以迅速侦破，部分款项贪污未遂，且案发后退出了全部赃款，有悔罪表现，庭审中认罪态度好，属初犯的辩护意见，经查合理属实，予以采纳。根据被告人许某某所犯罪的事实、犯罪的性质、情节等综合考虑，可以比照自首情节从轻处罚，对被告人许某某适用缓刑对其所居住的社区没有重大不良影响，也没有再犯的危险，可以适用缓刑。对于被告人所退出的赃款，应退回给有关单位。公诉机关指控被告人许某某的犯罪事实清楚，证据确实充分，罪名成立，应予支持。依照《中华人民共和国刑法》第三百八十二条</w:t>
      </w:r>
      <w:r>
        <w:rPr>
          <w:rFonts w:hint="eastAsia"/>
          <w:sz w:val="30"/>
          <w:szCs w:val="30"/>
        </w:rPr>
        <w:t>、第三百八十三条第一款第（三）项、第六十七条第三款、第七十二条、第七十三条之规定，判决如下：</w:t>
      </w:r>
    </w:p>
    <w:p w:rsidR="00064099" w:rsidRDefault="00064099">
      <w:pPr>
        <w:spacing w:line="500" w:lineRule="atLeast"/>
        <w:ind w:firstLine="600"/>
        <w:divId w:val="452484649"/>
        <w:rPr>
          <w:rFonts w:hint="eastAsia"/>
          <w:sz w:val="30"/>
          <w:szCs w:val="30"/>
        </w:rPr>
      </w:pPr>
      <w:r>
        <w:rPr>
          <w:rFonts w:hint="eastAsia"/>
          <w:sz w:val="30"/>
          <w:szCs w:val="30"/>
        </w:rPr>
        <w:t>被告人许某某犯贪污罪，判处有期徒刑一年六个月，缓刑二年（缓刑考验期限从判决确定之日起计算）。</w:t>
      </w:r>
    </w:p>
    <w:p w:rsidR="00064099" w:rsidRDefault="00064099">
      <w:pPr>
        <w:spacing w:line="500" w:lineRule="atLeast"/>
        <w:ind w:firstLine="600"/>
        <w:divId w:val="198823800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064099" w:rsidRDefault="00064099">
      <w:pPr>
        <w:spacing w:line="500" w:lineRule="atLeast"/>
        <w:jc w:val="right"/>
        <w:divId w:val="430441495"/>
        <w:rPr>
          <w:rFonts w:hint="eastAsia"/>
          <w:sz w:val="30"/>
          <w:szCs w:val="30"/>
        </w:rPr>
      </w:pPr>
      <w:r>
        <w:rPr>
          <w:rFonts w:hint="eastAsia"/>
          <w:sz w:val="30"/>
          <w:szCs w:val="30"/>
        </w:rPr>
        <w:t>审　判　长　　卢志浩</w:t>
      </w:r>
    </w:p>
    <w:p w:rsidR="00064099" w:rsidRDefault="00064099">
      <w:pPr>
        <w:spacing w:line="500" w:lineRule="atLeast"/>
        <w:jc w:val="right"/>
        <w:divId w:val="1592811155"/>
        <w:rPr>
          <w:rFonts w:hint="eastAsia"/>
          <w:sz w:val="30"/>
          <w:szCs w:val="30"/>
        </w:rPr>
      </w:pPr>
      <w:r>
        <w:rPr>
          <w:rFonts w:hint="eastAsia"/>
          <w:sz w:val="30"/>
          <w:szCs w:val="30"/>
        </w:rPr>
        <w:t>审　判　员　　杨魏浦</w:t>
      </w:r>
    </w:p>
    <w:p w:rsidR="00064099" w:rsidRDefault="00064099">
      <w:pPr>
        <w:spacing w:line="500" w:lineRule="atLeast"/>
        <w:jc w:val="right"/>
        <w:divId w:val="1100182620"/>
        <w:rPr>
          <w:rFonts w:hint="eastAsia"/>
          <w:sz w:val="30"/>
          <w:szCs w:val="30"/>
        </w:rPr>
      </w:pPr>
      <w:r>
        <w:rPr>
          <w:rFonts w:hint="eastAsia"/>
          <w:sz w:val="30"/>
          <w:szCs w:val="30"/>
        </w:rPr>
        <w:t>人民陪审员　　杨永雄</w:t>
      </w:r>
    </w:p>
    <w:p w:rsidR="00064099" w:rsidRDefault="00064099">
      <w:pPr>
        <w:spacing w:line="500" w:lineRule="atLeast"/>
        <w:jc w:val="right"/>
        <w:divId w:val="277490726"/>
        <w:rPr>
          <w:rFonts w:hint="eastAsia"/>
          <w:sz w:val="30"/>
          <w:szCs w:val="30"/>
        </w:rPr>
      </w:pPr>
      <w:r>
        <w:rPr>
          <w:rFonts w:hint="eastAsia"/>
          <w:sz w:val="30"/>
          <w:szCs w:val="30"/>
        </w:rPr>
        <w:t>二〇一五年九月十五日</w:t>
      </w:r>
    </w:p>
    <w:p w:rsidR="00064099" w:rsidRDefault="00064099">
      <w:pPr>
        <w:spacing w:line="500" w:lineRule="atLeast"/>
        <w:jc w:val="right"/>
        <w:divId w:val="1112628456"/>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4099" w:rsidRDefault="00064099" w:rsidP="00064099">
      <w:pPr>
        <w:rPr>
          <w:rFonts w:hint="eastAsia"/>
        </w:rPr>
      </w:pPr>
      <w:r>
        <w:separator/>
      </w:r>
    </w:p>
  </w:endnote>
  <w:endnote w:type="continuationSeparator" w:id="0">
    <w:p w:rsidR="00064099" w:rsidRDefault="00064099" w:rsidP="000640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4099" w:rsidRDefault="00064099" w:rsidP="00064099">
      <w:pPr>
        <w:rPr>
          <w:rFonts w:hint="eastAsia"/>
        </w:rPr>
      </w:pPr>
      <w:r>
        <w:separator/>
      </w:r>
    </w:p>
  </w:footnote>
  <w:footnote w:type="continuationSeparator" w:id="0">
    <w:p w:rsidR="00064099" w:rsidRDefault="00064099" w:rsidP="000640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099"/>
    <w:rsid w:val="0006409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099"/>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099"/>
    <w:rPr>
      <w:rFonts w:ascii="宋体" w:eastAsia="宋体" w:hAnsi="宋体" w:cs="宋体"/>
      <w:sz w:val="18"/>
      <w:szCs w:val="18"/>
    </w:rPr>
  </w:style>
  <w:style w:type="paragraph" w:styleId="a5">
    <w:name w:val="footer"/>
    <w:basedOn w:val="a"/>
    <w:link w:val="a6"/>
    <w:uiPriority w:val="99"/>
    <w:unhideWhenUsed/>
    <w:rsid w:val="00064099"/>
    <w:pPr>
      <w:tabs>
        <w:tab w:val="center" w:pos="4153"/>
        <w:tab w:val="right" w:pos="8306"/>
      </w:tabs>
      <w:snapToGrid w:val="0"/>
    </w:pPr>
    <w:rPr>
      <w:sz w:val="18"/>
      <w:szCs w:val="18"/>
    </w:rPr>
  </w:style>
  <w:style w:type="character" w:customStyle="1" w:styleId="a6">
    <w:name w:val="页脚 字符"/>
    <w:basedOn w:val="a0"/>
    <w:link w:val="a5"/>
    <w:uiPriority w:val="99"/>
    <w:rsid w:val="000640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38681">
      <w:marLeft w:val="0"/>
      <w:marRight w:val="0"/>
      <w:marTop w:val="10"/>
      <w:marBottom w:val="10"/>
      <w:divBdr>
        <w:top w:val="none" w:sz="0" w:space="0" w:color="auto"/>
        <w:left w:val="none" w:sz="0" w:space="0" w:color="auto"/>
        <w:bottom w:val="none" w:sz="0" w:space="0" w:color="auto"/>
        <w:right w:val="none" w:sz="0" w:space="0" w:color="auto"/>
      </w:divBdr>
    </w:div>
    <w:div w:id="199706831">
      <w:marLeft w:val="0"/>
      <w:marRight w:val="0"/>
      <w:marTop w:val="10"/>
      <w:marBottom w:val="10"/>
      <w:divBdr>
        <w:top w:val="none" w:sz="0" w:space="0" w:color="auto"/>
        <w:left w:val="none" w:sz="0" w:space="0" w:color="auto"/>
        <w:bottom w:val="none" w:sz="0" w:space="0" w:color="auto"/>
        <w:right w:val="none" w:sz="0" w:space="0" w:color="auto"/>
      </w:divBdr>
    </w:div>
    <w:div w:id="277490726">
      <w:marLeft w:val="0"/>
      <w:marRight w:val="720"/>
      <w:marTop w:val="10"/>
      <w:marBottom w:val="10"/>
      <w:divBdr>
        <w:top w:val="none" w:sz="0" w:space="0" w:color="auto"/>
        <w:left w:val="none" w:sz="0" w:space="0" w:color="auto"/>
        <w:bottom w:val="none" w:sz="0" w:space="0" w:color="auto"/>
        <w:right w:val="none" w:sz="0" w:space="0" w:color="auto"/>
      </w:divBdr>
    </w:div>
    <w:div w:id="280577358">
      <w:marLeft w:val="0"/>
      <w:marRight w:val="0"/>
      <w:marTop w:val="10"/>
      <w:marBottom w:val="10"/>
      <w:divBdr>
        <w:top w:val="none" w:sz="0" w:space="0" w:color="auto"/>
        <w:left w:val="none" w:sz="0" w:space="0" w:color="auto"/>
        <w:bottom w:val="none" w:sz="0" w:space="0" w:color="auto"/>
        <w:right w:val="none" w:sz="0" w:space="0" w:color="auto"/>
      </w:divBdr>
    </w:div>
    <w:div w:id="430441495">
      <w:marLeft w:val="0"/>
      <w:marRight w:val="720"/>
      <w:marTop w:val="10"/>
      <w:marBottom w:val="10"/>
      <w:divBdr>
        <w:top w:val="none" w:sz="0" w:space="0" w:color="auto"/>
        <w:left w:val="none" w:sz="0" w:space="0" w:color="auto"/>
        <w:bottom w:val="none" w:sz="0" w:space="0" w:color="auto"/>
        <w:right w:val="none" w:sz="0" w:space="0" w:color="auto"/>
      </w:divBdr>
    </w:div>
    <w:div w:id="452484649">
      <w:marLeft w:val="0"/>
      <w:marRight w:val="0"/>
      <w:marTop w:val="10"/>
      <w:marBottom w:val="10"/>
      <w:divBdr>
        <w:top w:val="none" w:sz="0" w:space="0" w:color="auto"/>
        <w:left w:val="none" w:sz="0" w:space="0" w:color="auto"/>
        <w:bottom w:val="none" w:sz="0" w:space="0" w:color="auto"/>
        <w:right w:val="none" w:sz="0" w:space="0" w:color="auto"/>
      </w:divBdr>
    </w:div>
    <w:div w:id="556402904">
      <w:marLeft w:val="0"/>
      <w:marRight w:val="0"/>
      <w:marTop w:val="10"/>
      <w:marBottom w:val="10"/>
      <w:divBdr>
        <w:top w:val="none" w:sz="0" w:space="0" w:color="auto"/>
        <w:left w:val="none" w:sz="0" w:space="0" w:color="auto"/>
        <w:bottom w:val="none" w:sz="0" w:space="0" w:color="auto"/>
        <w:right w:val="none" w:sz="0" w:space="0" w:color="auto"/>
      </w:divBdr>
    </w:div>
    <w:div w:id="601572491">
      <w:marLeft w:val="0"/>
      <w:marRight w:val="0"/>
      <w:marTop w:val="10"/>
      <w:marBottom w:val="10"/>
      <w:divBdr>
        <w:top w:val="none" w:sz="0" w:space="0" w:color="auto"/>
        <w:left w:val="none" w:sz="0" w:space="0" w:color="auto"/>
        <w:bottom w:val="none" w:sz="0" w:space="0" w:color="auto"/>
        <w:right w:val="none" w:sz="0" w:space="0" w:color="auto"/>
      </w:divBdr>
    </w:div>
    <w:div w:id="1100182620">
      <w:marLeft w:val="0"/>
      <w:marRight w:val="720"/>
      <w:marTop w:val="10"/>
      <w:marBottom w:val="10"/>
      <w:divBdr>
        <w:top w:val="none" w:sz="0" w:space="0" w:color="auto"/>
        <w:left w:val="none" w:sz="0" w:space="0" w:color="auto"/>
        <w:bottom w:val="none" w:sz="0" w:space="0" w:color="auto"/>
        <w:right w:val="none" w:sz="0" w:space="0" w:color="auto"/>
      </w:divBdr>
    </w:div>
    <w:div w:id="1112628456">
      <w:marLeft w:val="0"/>
      <w:marRight w:val="720"/>
      <w:marTop w:val="10"/>
      <w:marBottom w:val="10"/>
      <w:divBdr>
        <w:top w:val="none" w:sz="0" w:space="0" w:color="auto"/>
        <w:left w:val="none" w:sz="0" w:space="0" w:color="auto"/>
        <w:bottom w:val="none" w:sz="0" w:space="0" w:color="auto"/>
        <w:right w:val="none" w:sz="0" w:space="0" w:color="auto"/>
      </w:divBdr>
    </w:div>
    <w:div w:id="1132360431">
      <w:marLeft w:val="0"/>
      <w:marRight w:val="0"/>
      <w:marTop w:val="10"/>
      <w:marBottom w:val="10"/>
      <w:divBdr>
        <w:top w:val="none" w:sz="0" w:space="0" w:color="auto"/>
        <w:left w:val="none" w:sz="0" w:space="0" w:color="auto"/>
        <w:bottom w:val="none" w:sz="0" w:space="0" w:color="auto"/>
        <w:right w:val="none" w:sz="0" w:space="0" w:color="auto"/>
      </w:divBdr>
    </w:div>
    <w:div w:id="1290668542">
      <w:marLeft w:val="0"/>
      <w:marRight w:val="0"/>
      <w:marTop w:val="10"/>
      <w:marBottom w:val="10"/>
      <w:divBdr>
        <w:top w:val="none" w:sz="0" w:space="0" w:color="auto"/>
        <w:left w:val="none" w:sz="0" w:space="0" w:color="auto"/>
        <w:bottom w:val="none" w:sz="0" w:space="0" w:color="auto"/>
        <w:right w:val="none" w:sz="0" w:space="0" w:color="auto"/>
      </w:divBdr>
    </w:div>
    <w:div w:id="1592811155">
      <w:marLeft w:val="0"/>
      <w:marRight w:val="720"/>
      <w:marTop w:val="10"/>
      <w:marBottom w:val="10"/>
      <w:divBdr>
        <w:top w:val="none" w:sz="0" w:space="0" w:color="auto"/>
        <w:left w:val="none" w:sz="0" w:space="0" w:color="auto"/>
        <w:bottom w:val="none" w:sz="0" w:space="0" w:color="auto"/>
        <w:right w:val="none" w:sz="0" w:space="0" w:color="auto"/>
      </w:divBdr>
    </w:div>
    <w:div w:id="1656182048">
      <w:marLeft w:val="0"/>
      <w:marRight w:val="0"/>
      <w:marTop w:val="10"/>
      <w:marBottom w:val="10"/>
      <w:divBdr>
        <w:top w:val="none" w:sz="0" w:space="0" w:color="auto"/>
        <w:left w:val="none" w:sz="0" w:space="0" w:color="auto"/>
        <w:bottom w:val="none" w:sz="0" w:space="0" w:color="auto"/>
        <w:right w:val="none" w:sz="0" w:space="0" w:color="auto"/>
      </w:divBdr>
    </w:div>
    <w:div w:id="1898007127">
      <w:marLeft w:val="0"/>
      <w:marRight w:val="0"/>
      <w:marTop w:val="10"/>
      <w:marBottom w:val="10"/>
      <w:divBdr>
        <w:top w:val="none" w:sz="0" w:space="0" w:color="auto"/>
        <w:left w:val="none" w:sz="0" w:space="0" w:color="auto"/>
        <w:bottom w:val="none" w:sz="0" w:space="0" w:color="auto"/>
        <w:right w:val="none" w:sz="0" w:space="0" w:color="auto"/>
      </w:divBdr>
    </w:div>
    <w:div w:id="1934585107">
      <w:marLeft w:val="0"/>
      <w:marRight w:val="0"/>
      <w:marTop w:val="10"/>
      <w:marBottom w:val="10"/>
      <w:divBdr>
        <w:top w:val="none" w:sz="0" w:space="0" w:color="auto"/>
        <w:left w:val="none" w:sz="0" w:space="0" w:color="auto"/>
        <w:bottom w:val="none" w:sz="0" w:space="0" w:color="auto"/>
        <w:right w:val="none" w:sz="0" w:space="0" w:color="auto"/>
      </w:divBdr>
    </w:div>
    <w:div w:id="1987977366">
      <w:marLeft w:val="0"/>
      <w:marRight w:val="0"/>
      <w:marTop w:val="10"/>
      <w:marBottom w:val="10"/>
      <w:divBdr>
        <w:top w:val="none" w:sz="0" w:space="0" w:color="auto"/>
        <w:left w:val="none" w:sz="0" w:space="0" w:color="auto"/>
        <w:bottom w:val="none" w:sz="0" w:space="0" w:color="auto"/>
        <w:right w:val="none" w:sz="0" w:space="0" w:color="auto"/>
      </w:divBdr>
    </w:div>
    <w:div w:id="19882380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