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0A96F" w14:textId="77777777" w:rsidR="0038584E" w:rsidRDefault="0038584E">
      <w:pPr>
        <w:spacing w:line="500" w:lineRule="atLeast"/>
        <w:jc w:val="center"/>
        <w:divId w:val="1195848046"/>
        <w:rPr>
          <w:rFonts w:ascii="黑体" w:eastAsia="黑体" w:hAnsi="黑体"/>
          <w:sz w:val="36"/>
          <w:szCs w:val="36"/>
        </w:rPr>
      </w:pPr>
      <w:r>
        <w:rPr>
          <w:rFonts w:ascii="黑体" w:eastAsia="黑体" w:hAnsi="黑体" w:hint="eastAsia"/>
          <w:sz w:val="36"/>
          <w:szCs w:val="36"/>
        </w:rPr>
        <w:t>广东省佛冈县人民法院</w:t>
      </w:r>
    </w:p>
    <w:p w14:paraId="5690D433" w14:textId="77777777" w:rsidR="0038584E" w:rsidRDefault="0038584E">
      <w:pPr>
        <w:spacing w:line="500" w:lineRule="atLeast"/>
        <w:jc w:val="center"/>
        <w:divId w:val="16379051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29904E" w14:textId="77777777" w:rsidR="0038584E" w:rsidRDefault="0038584E">
      <w:pPr>
        <w:spacing w:line="500" w:lineRule="atLeast"/>
        <w:jc w:val="right"/>
        <w:divId w:val="1120683244"/>
        <w:rPr>
          <w:rFonts w:hint="eastAsia"/>
          <w:sz w:val="30"/>
          <w:szCs w:val="30"/>
        </w:rPr>
      </w:pPr>
      <w:r>
        <w:rPr>
          <w:rFonts w:hint="eastAsia"/>
          <w:sz w:val="30"/>
          <w:szCs w:val="30"/>
        </w:rPr>
        <w:t>（</w:t>
      </w:r>
      <w:r>
        <w:rPr>
          <w:rFonts w:hint="eastAsia"/>
          <w:sz w:val="30"/>
          <w:szCs w:val="30"/>
        </w:rPr>
        <w:t>2014</w:t>
      </w:r>
      <w:r>
        <w:rPr>
          <w:rFonts w:hint="eastAsia"/>
          <w:sz w:val="30"/>
          <w:szCs w:val="30"/>
        </w:rPr>
        <w:t>）清佛法刑初字第</w:t>
      </w:r>
      <w:r>
        <w:rPr>
          <w:rFonts w:hint="eastAsia"/>
          <w:sz w:val="30"/>
          <w:szCs w:val="30"/>
        </w:rPr>
        <w:t>99</w:t>
      </w:r>
      <w:r>
        <w:rPr>
          <w:rFonts w:hint="eastAsia"/>
          <w:sz w:val="30"/>
          <w:szCs w:val="30"/>
        </w:rPr>
        <w:t>号</w:t>
      </w:r>
    </w:p>
    <w:p w14:paraId="0E91C9C5" w14:textId="77777777" w:rsidR="0038584E" w:rsidRDefault="0038584E">
      <w:pPr>
        <w:spacing w:line="500" w:lineRule="atLeast"/>
        <w:ind w:firstLine="600"/>
        <w:divId w:val="1061487132"/>
        <w:rPr>
          <w:rFonts w:hint="eastAsia"/>
          <w:sz w:val="30"/>
          <w:szCs w:val="30"/>
        </w:rPr>
      </w:pPr>
      <w:r>
        <w:rPr>
          <w:rFonts w:hint="eastAsia"/>
          <w:sz w:val="30"/>
          <w:szCs w:val="30"/>
        </w:rPr>
        <w:t>公诉机关佛冈县人民检察院。</w:t>
      </w:r>
    </w:p>
    <w:p w14:paraId="09F63E58" w14:textId="77777777" w:rsidR="0038584E" w:rsidRDefault="0038584E">
      <w:pPr>
        <w:spacing w:line="500" w:lineRule="atLeast"/>
        <w:ind w:firstLine="600"/>
        <w:divId w:val="1981425201"/>
        <w:rPr>
          <w:rFonts w:hint="eastAsia"/>
          <w:sz w:val="30"/>
          <w:szCs w:val="30"/>
        </w:rPr>
      </w:pPr>
      <w:r>
        <w:rPr>
          <w:rFonts w:hint="eastAsia"/>
          <w:sz w:val="30"/>
          <w:szCs w:val="30"/>
        </w:rPr>
        <w:t>被告人谭某宜，男。因本案于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日被佛冈县人民检察院决定取保候审，于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日被本院决定取保候审。</w:t>
      </w:r>
    </w:p>
    <w:p w14:paraId="46C27D27" w14:textId="77777777" w:rsidR="0038584E" w:rsidRDefault="0038584E">
      <w:pPr>
        <w:spacing w:line="500" w:lineRule="atLeast"/>
        <w:ind w:firstLine="600"/>
        <w:divId w:val="798259957"/>
        <w:rPr>
          <w:rFonts w:hint="eastAsia"/>
          <w:sz w:val="30"/>
          <w:szCs w:val="30"/>
        </w:rPr>
      </w:pPr>
      <w:r>
        <w:rPr>
          <w:rFonts w:hint="eastAsia"/>
          <w:sz w:val="30"/>
          <w:szCs w:val="30"/>
        </w:rPr>
        <w:t>佛冈县人民检察院以佛检公刑诉（</w:t>
      </w:r>
      <w:r>
        <w:rPr>
          <w:rFonts w:hint="eastAsia"/>
          <w:sz w:val="30"/>
          <w:szCs w:val="30"/>
        </w:rPr>
        <w:t>2014</w:t>
      </w:r>
      <w:r>
        <w:rPr>
          <w:rFonts w:hint="eastAsia"/>
          <w:sz w:val="30"/>
          <w:szCs w:val="30"/>
        </w:rPr>
        <w:t>）</w:t>
      </w:r>
      <w:r>
        <w:rPr>
          <w:rFonts w:hint="eastAsia"/>
          <w:sz w:val="30"/>
          <w:szCs w:val="30"/>
        </w:rPr>
        <w:t>91</w:t>
      </w:r>
      <w:r>
        <w:rPr>
          <w:rFonts w:hint="eastAsia"/>
          <w:sz w:val="30"/>
          <w:szCs w:val="30"/>
        </w:rPr>
        <w:t>号起诉书指控被告人谭某宜犯行贿罪，于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日向本院提起公诉。本院依法适用简易程序组成合议庭，于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日公开开庭进行了审理。佛冈县人民检察院指派检察员黄积新出庭支持公诉，被告人谭某宜到庭参加了诉讼。现已审理终结。</w:t>
      </w:r>
    </w:p>
    <w:p w14:paraId="2E480A13" w14:textId="77777777" w:rsidR="0038584E" w:rsidRDefault="0038584E">
      <w:pPr>
        <w:spacing w:line="500" w:lineRule="atLeast"/>
        <w:ind w:firstLine="600"/>
        <w:divId w:val="645476647"/>
        <w:rPr>
          <w:rFonts w:hint="eastAsia"/>
          <w:sz w:val="30"/>
          <w:szCs w:val="30"/>
        </w:rPr>
      </w:pPr>
      <w:r>
        <w:rPr>
          <w:rFonts w:hint="eastAsia"/>
          <w:sz w:val="30"/>
          <w:szCs w:val="30"/>
        </w:rPr>
        <w:t>公诉机关指控：被告人谭某宜受佛冈县交通运输局委托管理位于佛冈县汤塘镇荣埔工业园内专门用于停放清远市治理超限超载工作佛冈汤塘执勤点（以下简称汤塘治超站）查处超限超载等违章车辆的汤塘镇治超停车场，并负责汤塘镇治超停车场的管理和场地维护、管理保安员、看管因超限超载而停放在停车场内的车辆、代发保安员工资等。</w:t>
      </w:r>
      <w:r>
        <w:rPr>
          <w:rFonts w:hint="eastAsia"/>
          <w:sz w:val="30"/>
          <w:szCs w:val="30"/>
        </w:rPr>
        <w:t>2005</w:t>
      </w:r>
      <w:r>
        <w:rPr>
          <w:rFonts w:hint="eastAsia"/>
          <w:sz w:val="30"/>
          <w:szCs w:val="30"/>
        </w:rPr>
        <w:t>年，谭某宜为该停车场办理字号为佛冈县汤塘镇伟源停车场的个体工商户营业执照。被告人谭某宜为了得到利用其负责管理该停车场的便利，在经营该停车场过程中做货物装卸生意时赚取被扣押超限超载车辆的装卸费、转运费、介绍费等不正当利益，并让治超工作人员对其上述行为不管束、不阻止，于是，从</w:t>
      </w:r>
      <w:r>
        <w:rPr>
          <w:rFonts w:hint="eastAsia"/>
          <w:sz w:val="30"/>
          <w:szCs w:val="30"/>
        </w:rPr>
        <w:t>2006</w:t>
      </w:r>
      <w:r>
        <w:rPr>
          <w:rFonts w:hint="eastAsia"/>
          <w:sz w:val="30"/>
          <w:szCs w:val="30"/>
        </w:rPr>
        <w:t>年初至</w:t>
      </w:r>
      <w:r>
        <w:rPr>
          <w:rFonts w:hint="eastAsia"/>
          <w:sz w:val="30"/>
          <w:szCs w:val="30"/>
        </w:rPr>
        <w:t>2010</w:t>
      </w:r>
      <w:r>
        <w:rPr>
          <w:rFonts w:hint="eastAsia"/>
          <w:sz w:val="30"/>
          <w:szCs w:val="30"/>
        </w:rPr>
        <w:t>年的春节、中秋节期间，被告人谭某宜多次非法给予汤塘治超站执法人员易某伟、潘某坎、郑某恐三人好处费合共</w:t>
      </w:r>
      <w:r>
        <w:rPr>
          <w:rFonts w:hint="eastAsia"/>
          <w:sz w:val="30"/>
          <w:szCs w:val="30"/>
        </w:rPr>
        <w:t>10100</w:t>
      </w:r>
      <w:r>
        <w:rPr>
          <w:rFonts w:hint="eastAsia"/>
          <w:sz w:val="30"/>
          <w:szCs w:val="30"/>
        </w:rPr>
        <w:t>元，具体事实如下：</w:t>
      </w:r>
    </w:p>
    <w:p w14:paraId="1CB74AA1" w14:textId="77777777" w:rsidR="0038584E" w:rsidRDefault="0038584E">
      <w:pPr>
        <w:spacing w:line="500" w:lineRule="atLeast"/>
        <w:ind w:firstLine="600"/>
        <w:divId w:val="920329084"/>
        <w:rPr>
          <w:rFonts w:hint="eastAsia"/>
          <w:sz w:val="30"/>
          <w:szCs w:val="30"/>
        </w:rPr>
      </w:pPr>
      <w:r>
        <w:rPr>
          <w:rFonts w:hint="eastAsia"/>
          <w:sz w:val="30"/>
          <w:szCs w:val="30"/>
        </w:rPr>
        <w:lastRenderedPageBreak/>
        <w:t>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年的春节、中秋节期间，被告人谭某宜在汤塘治超站工作人员休息室共</w:t>
      </w:r>
      <w:r>
        <w:rPr>
          <w:rFonts w:hint="eastAsia"/>
          <w:sz w:val="30"/>
          <w:szCs w:val="30"/>
        </w:rPr>
        <w:t>5</w:t>
      </w:r>
      <w:r>
        <w:rPr>
          <w:rFonts w:hint="eastAsia"/>
          <w:sz w:val="30"/>
          <w:szCs w:val="30"/>
        </w:rPr>
        <w:t>次给予汤塘治超站执法人员易某伟好处费，合计现金人民币</w:t>
      </w:r>
      <w:r>
        <w:rPr>
          <w:rFonts w:hint="eastAsia"/>
          <w:sz w:val="30"/>
          <w:szCs w:val="30"/>
        </w:rPr>
        <w:t>2300</w:t>
      </w:r>
      <w:r>
        <w:rPr>
          <w:rFonts w:hint="eastAsia"/>
          <w:sz w:val="30"/>
          <w:szCs w:val="30"/>
        </w:rPr>
        <w:t>元；</w:t>
      </w:r>
    </w:p>
    <w:p w14:paraId="3EB6C028" w14:textId="77777777" w:rsidR="0038584E" w:rsidRDefault="0038584E">
      <w:pPr>
        <w:spacing w:line="500" w:lineRule="atLeast"/>
        <w:ind w:firstLine="600"/>
        <w:divId w:val="1771513142"/>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年的春节、中秋节期间，被告人谭某宜在汤塘治超站工作人员休息室共</w:t>
      </w:r>
      <w:r>
        <w:rPr>
          <w:rFonts w:hint="eastAsia"/>
          <w:sz w:val="30"/>
          <w:szCs w:val="30"/>
        </w:rPr>
        <w:t>6</w:t>
      </w:r>
      <w:r>
        <w:rPr>
          <w:rFonts w:hint="eastAsia"/>
          <w:sz w:val="30"/>
          <w:szCs w:val="30"/>
        </w:rPr>
        <w:t>次给予汤塘治超站执法人员潘某坎好处费，合计现金人民币</w:t>
      </w:r>
      <w:r>
        <w:rPr>
          <w:rFonts w:hint="eastAsia"/>
          <w:sz w:val="30"/>
          <w:szCs w:val="30"/>
        </w:rPr>
        <w:t>3000</w:t>
      </w:r>
      <w:r>
        <w:rPr>
          <w:rFonts w:hint="eastAsia"/>
          <w:sz w:val="30"/>
          <w:szCs w:val="30"/>
        </w:rPr>
        <w:t>元；</w:t>
      </w:r>
    </w:p>
    <w:p w14:paraId="03F684D1" w14:textId="77777777" w:rsidR="0038584E" w:rsidRDefault="0038584E">
      <w:pPr>
        <w:spacing w:line="500" w:lineRule="atLeast"/>
        <w:ind w:firstLine="600"/>
        <w:divId w:val="595140320"/>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年的春节、中秋节期间，被告人谭某宜在汤塘治超站工作人员休息室共</w:t>
      </w:r>
      <w:r>
        <w:rPr>
          <w:rFonts w:hint="eastAsia"/>
          <w:sz w:val="30"/>
          <w:szCs w:val="30"/>
        </w:rPr>
        <w:t>10</w:t>
      </w:r>
      <w:r>
        <w:rPr>
          <w:rFonts w:hint="eastAsia"/>
          <w:sz w:val="30"/>
          <w:szCs w:val="30"/>
        </w:rPr>
        <w:t>次给予汤塘治超站执法人员郑某恐好处费，合计现金人民币</w:t>
      </w:r>
      <w:r>
        <w:rPr>
          <w:rFonts w:hint="eastAsia"/>
          <w:sz w:val="30"/>
          <w:szCs w:val="30"/>
        </w:rPr>
        <w:t>4800</w:t>
      </w:r>
      <w:r>
        <w:rPr>
          <w:rFonts w:hint="eastAsia"/>
          <w:sz w:val="30"/>
          <w:szCs w:val="30"/>
        </w:rPr>
        <w:t>元。</w:t>
      </w:r>
    </w:p>
    <w:p w14:paraId="235207F1" w14:textId="77777777" w:rsidR="0038584E" w:rsidRDefault="0038584E">
      <w:pPr>
        <w:spacing w:line="500" w:lineRule="atLeast"/>
        <w:ind w:firstLine="600"/>
        <w:divId w:val="218368913"/>
        <w:rPr>
          <w:rFonts w:hint="eastAsia"/>
          <w:sz w:val="30"/>
          <w:szCs w:val="30"/>
        </w:rPr>
      </w:pPr>
      <w:r>
        <w:rPr>
          <w:rFonts w:hint="eastAsia"/>
          <w:sz w:val="30"/>
          <w:szCs w:val="30"/>
        </w:rPr>
        <w:t>案发后，被告人谭某宜主动到检察机关投案自首，并在被追诉前主动如实交代自已的犯罪事实。</w:t>
      </w:r>
    </w:p>
    <w:p w14:paraId="1D075D01" w14:textId="77777777" w:rsidR="0038584E" w:rsidRDefault="0038584E">
      <w:pPr>
        <w:spacing w:line="500" w:lineRule="atLeast"/>
        <w:ind w:firstLine="600"/>
        <w:divId w:val="1028143773"/>
        <w:rPr>
          <w:rFonts w:hint="eastAsia"/>
          <w:sz w:val="30"/>
          <w:szCs w:val="30"/>
        </w:rPr>
      </w:pPr>
      <w:r>
        <w:rPr>
          <w:rFonts w:hint="eastAsia"/>
          <w:sz w:val="30"/>
          <w:szCs w:val="30"/>
        </w:rPr>
        <w:t>上述事实，被告人谭某宜在开庭审理过程中亦无异议，且有公诉机关提交并经庭审举证、质证的下列证据予以证实：</w:t>
      </w:r>
      <w:r>
        <w:rPr>
          <w:rFonts w:hint="eastAsia"/>
          <w:sz w:val="30"/>
          <w:szCs w:val="30"/>
        </w:rPr>
        <w:t>1</w:t>
      </w:r>
      <w:r>
        <w:rPr>
          <w:rFonts w:hint="eastAsia"/>
          <w:sz w:val="30"/>
          <w:szCs w:val="30"/>
        </w:rPr>
        <w:t>．被告人谭某宜的户籍证明、租赁合同书、佛冈县交通运输局的情况说明、中华人民共和国组织机构代码证、佛冈县人民法院（</w:t>
      </w:r>
      <w:r>
        <w:rPr>
          <w:rFonts w:hint="eastAsia"/>
          <w:sz w:val="30"/>
          <w:szCs w:val="30"/>
        </w:rPr>
        <w:t>2013</w:t>
      </w:r>
      <w:r>
        <w:rPr>
          <w:rFonts w:hint="eastAsia"/>
          <w:sz w:val="30"/>
          <w:szCs w:val="30"/>
        </w:rPr>
        <w:t>）清佛法刑初字第</w:t>
      </w:r>
      <w:r>
        <w:rPr>
          <w:rFonts w:hint="eastAsia"/>
          <w:sz w:val="30"/>
          <w:szCs w:val="30"/>
        </w:rPr>
        <w:t>82</w:t>
      </w:r>
      <w:r>
        <w:rPr>
          <w:rFonts w:hint="eastAsia"/>
          <w:sz w:val="30"/>
          <w:szCs w:val="30"/>
        </w:rPr>
        <w:t>号刑事判决书、易某伟、潘某坎、郑某恐的主体身份材料等书证；</w:t>
      </w:r>
      <w:r>
        <w:rPr>
          <w:rFonts w:hint="eastAsia"/>
          <w:sz w:val="30"/>
          <w:szCs w:val="30"/>
        </w:rPr>
        <w:t>2</w:t>
      </w:r>
      <w:r>
        <w:rPr>
          <w:rFonts w:hint="eastAsia"/>
          <w:sz w:val="30"/>
          <w:szCs w:val="30"/>
        </w:rPr>
        <w:t>．证人易某伟、潘某坎、郑某恐、谭某基等人的证言；</w:t>
      </w:r>
      <w:r>
        <w:rPr>
          <w:rFonts w:hint="eastAsia"/>
          <w:sz w:val="30"/>
          <w:szCs w:val="30"/>
        </w:rPr>
        <w:t>3</w:t>
      </w:r>
      <w:r>
        <w:rPr>
          <w:rFonts w:hint="eastAsia"/>
          <w:sz w:val="30"/>
          <w:szCs w:val="30"/>
        </w:rPr>
        <w:t>．被告人谭某宜的供述及亲笔供词等。足以认定。</w:t>
      </w:r>
    </w:p>
    <w:p w14:paraId="3E87A889" w14:textId="77777777" w:rsidR="0038584E" w:rsidRDefault="0038584E">
      <w:pPr>
        <w:spacing w:line="500" w:lineRule="atLeast"/>
        <w:ind w:firstLine="600"/>
        <w:divId w:val="1140152911"/>
        <w:rPr>
          <w:rFonts w:hint="eastAsia"/>
          <w:sz w:val="30"/>
          <w:szCs w:val="30"/>
        </w:rPr>
      </w:pPr>
      <w:r>
        <w:rPr>
          <w:rFonts w:hint="eastAsia"/>
          <w:sz w:val="30"/>
          <w:szCs w:val="30"/>
        </w:rPr>
        <w:t>本院认为，被告人谭某宜受佛冈县交通运输局委托管理汤塘镇治超停车场期间，为谋取不正当利益，多次非法给予汤塘治超站的行政执法人员好处费合共人民币</w:t>
      </w:r>
      <w:r>
        <w:rPr>
          <w:rFonts w:hint="eastAsia"/>
          <w:sz w:val="30"/>
          <w:szCs w:val="30"/>
        </w:rPr>
        <w:t>10100</w:t>
      </w:r>
      <w:r>
        <w:rPr>
          <w:rFonts w:hint="eastAsia"/>
          <w:sz w:val="30"/>
          <w:szCs w:val="30"/>
        </w:rPr>
        <w:t>元，其行为已构成行贿罪，应当依法追究其刑事责任。公诉机关指控被告人谭某宜犯罪的事实清楚，证据确实、充分，定性准确，指控的罪名成立，本院予以确认。鉴于被告人谭某宜主动投案自首，依法可以从轻或减轻处罚。被告人谭某宜在被追诉前主动交代行贿行为，归案后认罪态度较好，确有悔罪表现，并经佛冈县司法局社区矫正工作领导小组调查评估：被告人谭某宜没有再犯罪的危险和适用非监禁刑对其所居住社区没有不良影响。因此，对被告人谭某宜依法可以适用缓刑。为维护国家工作人员履行职务的廉洁性，根据被告人犯罪的事实、性质、情节及对社会的危害程度，依照《中华人民共和国刑法》第三百八十九条第一款、第三百九十条、第六十七条第一款、第七十二条、第七十三条第二款、第三款、《最高人民法院、最高人民检察院关于办理行贿刑事案件具体应用法律若干问题的解释》第一条、第十条第二款、第十三条的规定，判决如下：</w:t>
      </w:r>
    </w:p>
    <w:p w14:paraId="755959F2" w14:textId="77777777" w:rsidR="0038584E" w:rsidRDefault="0038584E">
      <w:pPr>
        <w:spacing w:line="500" w:lineRule="atLeast"/>
        <w:ind w:firstLine="600"/>
        <w:divId w:val="472916931"/>
        <w:rPr>
          <w:rFonts w:hint="eastAsia"/>
          <w:sz w:val="30"/>
          <w:szCs w:val="30"/>
        </w:rPr>
      </w:pPr>
      <w:r>
        <w:rPr>
          <w:rFonts w:hint="eastAsia"/>
          <w:sz w:val="30"/>
          <w:szCs w:val="30"/>
        </w:rPr>
        <w:t>被告人谭某宜犯行贿罪，判处有期徒刑一年，缓刑二年。</w:t>
      </w:r>
    </w:p>
    <w:p w14:paraId="7FDC925F" w14:textId="77777777" w:rsidR="0038584E" w:rsidRDefault="0038584E">
      <w:pPr>
        <w:spacing w:line="500" w:lineRule="atLeast"/>
        <w:ind w:firstLine="600"/>
        <w:divId w:val="226384154"/>
        <w:rPr>
          <w:rFonts w:hint="eastAsia"/>
          <w:sz w:val="30"/>
          <w:szCs w:val="30"/>
        </w:rPr>
      </w:pPr>
      <w:r>
        <w:rPr>
          <w:rFonts w:hint="eastAsia"/>
          <w:sz w:val="30"/>
          <w:szCs w:val="30"/>
        </w:rPr>
        <w:t>（缓刑考验期限从判决确定之日起计算。）</w:t>
      </w:r>
    </w:p>
    <w:p w14:paraId="4BE83149" w14:textId="77777777" w:rsidR="0038584E" w:rsidRDefault="0038584E">
      <w:pPr>
        <w:spacing w:line="500" w:lineRule="atLeast"/>
        <w:ind w:firstLine="600"/>
        <w:divId w:val="152301544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25B79137" w14:textId="77777777" w:rsidR="0038584E" w:rsidRDefault="0038584E">
      <w:pPr>
        <w:spacing w:line="500" w:lineRule="atLeast"/>
        <w:jc w:val="right"/>
        <w:divId w:val="218172895"/>
        <w:rPr>
          <w:rFonts w:hint="eastAsia"/>
          <w:sz w:val="30"/>
          <w:szCs w:val="30"/>
        </w:rPr>
      </w:pPr>
      <w:r>
        <w:rPr>
          <w:rFonts w:hint="eastAsia"/>
          <w:sz w:val="30"/>
          <w:szCs w:val="30"/>
        </w:rPr>
        <w:t>审　判　长　　邓金勇</w:t>
      </w:r>
    </w:p>
    <w:p w14:paraId="0E4AC0B4" w14:textId="77777777" w:rsidR="0038584E" w:rsidRDefault="0038584E">
      <w:pPr>
        <w:spacing w:line="500" w:lineRule="atLeast"/>
        <w:jc w:val="right"/>
        <w:divId w:val="812723565"/>
        <w:rPr>
          <w:rFonts w:hint="eastAsia"/>
          <w:sz w:val="30"/>
          <w:szCs w:val="30"/>
        </w:rPr>
      </w:pPr>
      <w:r>
        <w:rPr>
          <w:rFonts w:hint="eastAsia"/>
          <w:sz w:val="30"/>
          <w:szCs w:val="30"/>
        </w:rPr>
        <w:t>审　判　员　　刘永红</w:t>
      </w:r>
    </w:p>
    <w:p w14:paraId="64CF6512" w14:textId="77777777" w:rsidR="0038584E" w:rsidRDefault="0038584E">
      <w:pPr>
        <w:spacing w:line="500" w:lineRule="atLeast"/>
        <w:jc w:val="right"/>
        <w:divId w:val="964845041"/>
        <w:rPr>
          <w:rFonts w:hint="eastAsia"/>
          <w:sz w:val="30"/>
          <w:szCs w:val="30"/>
        </w:rPr>
      </w:pPr>
      <w:r>
        <w:rPr>
          <w:rFonts w:hint="eastAsia"/>
          <w:sz w:val="30"/>
          <w:szCs w:val="30"/>
        </w:rPr>
        <w:t>人民陪审员　　梁伟明</w:t>
      </w:r>
    </w:p>
    <w:p w14:paraId="03655FC6" w14:textId="77777777" w:rsidR="0038584E" w:rsidRDefault="0038584E">
      <w:pPr>
        <w:spacing w:line="500" w:lineRule="atLeast"/>
        <w:jc w:val="right"/>
        <w:divId w:val="162547561"/>
        <w:rPr>
          <w:rFonts w:hint="eastAsia"/>
          <w:sz w:val="30"/>
          <w:szCs w:val="30"/>
        </w:rPr>
      </w:pPr>
      <w:r>
        <w:rPr>
          <w:rFonts w:hint="eastAsia"/>
          <w:sz w:val="30"/>
          <w:szCs w:val="30"/>
        </w:rPr>
        <w:t>二〇一四年十一月六日</w:t>
      </w:r>
    </w:p>
    <w:p w14:paraId="6317E88C" w14:textId="77777777" w:rsidR="0038584E" w:rsidRDefault="0038584E">
      <w:pPr>
        <w:spacing w:line="500" w:lineRule="atLeast"/>
        <w:jc w:val="right"/>
        <w:divId w:val="473066305"/>
        <w:rPr>
          <w:rFonts w:hint="eastAsia"/>
          <w:sz w:val="30"/>
          <w:szCs w:val="30"/>
        </w:rPr>
      </w:pPr>
      <w:r>
        <w:rPr>
          <w:rFonts w:hint="eastAsia"/>
          <w:sz w:val="30"/>
          <w:szCs w:val="30"/>
        </w:rPr>
        <w:t>书　记　员　　刘　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10F0" w14:textId="77777777" w:rsidR="0038584E" w:rsidRDefault="0038584E" w:rsidP="0038584E">
      <w:pPr>
        <w:rPr>
          <w:rFonts w:hint="eastAsia"/>
        </w:rPr>
      </w:pPr>
      <w:r>
        <w:separator/>
      </w:r>
    </w:p>
  </w:endnote>
  <w:endnote w:type="continuationSeparator" w:id="0">
    <w:p w14:paraId="064DD376" w14:textId="77777777" w:rsidR="0038584E" w:rsidRDefault="0038584E" w:rsidP="003858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20391" w14:textId="77777777" w:rsidR="0038584E" w:rsidRDefault="0038584E" w:rsidP="0038584E">
      <w:pPr>
        <w:rPr>
          <w:rFonts w:hint="eastAsia"/>
        </w:rPr>
      </w:pPr>
      <w:r>
        <w:separator/>
      </w:r>
    </w:p>
  </w:footnote>
  <w:footnote w:type="continuationSeparator" w:id="0">
    <w:p w14:paraId="0370F9DE" w14:textId="77777777" w:rsidR="0038584E" w:rsidRDefault="0038584E" w:rsidP="003858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584E"/>
    <w:rsid w:val="0038584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EDAE0"/>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584E"/>
    <w:pPr>
      <w:tabs>
        <w:tab w:val="center" w:pos="4153"/>
        <w:tab w:val="right" w:pos="8306"/>
      </w:tabs>
      <w:snapToGrid w:val="0"/>
      <w:jc w:val="center"/>
    </w:pPr>
    <w:rPr>
      <w:sz w:val="18"/>
      <w:szCs w:val="18"/>
    </w:rPr>
  </w:style>
  <w:style w:type="character" w:customStyle="1" w:styleId="a4">
    <w:name w:val="页眉 字符"/>
    <w:basedOn w:val="a0"/>
    <w:link w:val="a3"/>
    <w:uiPriority w:val="99"/>
    <w:rsid w:val="0038584E"/>
    <w:rPr>
      <w:rFonts w:ascii="宋体" w:eastAsia="宋体" w:hAnsi="宋体" w:cs="宋体"/>
      <w:sz w:val="18"/>
      <w:szCs w:val="18"/>
    </w:rPr>
  </w:style>
  <w:style w:type="paragraph" w:styleId="a5">
    <w:name w:val="footer"/>
    <w:basedOn w:val="a"/>
    <w:link w:val="a6"/>
    <w:uiPriority w:val="99"/>
    <w:unhideWhenUsed/>
    <w:rsid w:val="0038584E"/>
    <w:pPr>
      <w:tabs>
        <w:tab w:val="center" w:pos="4153"/>
        <w:tab w:val="right" w:pos="8306"/>
      </w:tabs>
      <w:snapToGrid w:val="0"/>
    </w:pPr>
    <w:rPr>
      <w:sz w:val="18"/>
      <w:szCs w:val="18"/>
    </w:rPr>
  </w:style>
  <w:style w:type="character" w:customStyle="1" w:styleId="a6">
    <w:name w:val="页脚 字符"/>
    <w:basedOn w:val="a0"/>
    <w:link w:val="a5"/>
    <w:uiPriority w:val="99"/>
    <w:rsid w:val="003858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47561">
      <w:marLeft w:val="0"/>
      <w:marRight w:val="720"/>
      <w:marTop w:val="10"/>
      <w:marBottom w:val="10"/>
      <w:divBdr>
        <w:top w:val="none" w:sz="0" w:space="0" w:color="auto"/>
        <w:left w:val="none" w:sz="0" w:space="0" w:color="auto"/>
        <w:bottom w:val="none" w:sz="0" w:space="0" w:color="auto"/>
        <w:right w:val="none" w:sz="0" w:space="0" w:color="auto"/>
      </w:divBdr>
    </w:div>
    <w:div w:id="218172895">
      <w:marLeft w:val="0"/>
      <w:marRight w:val="720"/>
      <w:marTop w:val="10"/>
      <w:marBottom w:val="10"/>
      <w:divBdr>
        <w:top w:val="none" w:sz="0" w:space="0" w:color="auto"/>
        <w:left w:val="none" w:sz="0" w:space="0" w:color="auto"/>
        <w:bottom w:val="none" w:sz="0" w:space="0" w:color="auto"/>
        <w:right w:val="none" w:sz="0" w:space="0" w:color="auto"/>
      </w:divBdr>
    </w:div>
    <w:div w:id="218368913">
      <w:marLeft w:val="0"/>
      <w:marRight w:val="0"/>
      <w:marTop w:val="10"/>
      <w:marBottom w:val="10"/>
      <w:divBdr>
        <w:top w:val="none" w:sz="0" w:space="0" w:color="auto"/>
        <w:left w:val="none" w:sz="0" w:space="0" w:color="auto"/>
        <w:bottom w:val="none" w:sz="0" w:space="0" w:color="auto"/>
        <w:right w:val="none" w:sz="0" w:space="0" w:color="auto"/>
      </w:divBdr>
    </w:div>
    <w:div w:id="226384154">
      <w:marLeft w:val="0"/>
      <w:marRight w:val="0"/>
      <w:marTop w:val="10"/>
      <w:marBottom w:val="10"/>
      <w:divBdr>
        <w:top w:val="none" w:sz="0" w:space="0" w:color="auto"/>
        <w:left w:val="none" w:sz="0" w:space="0" w:color="auto"/>
        <w:bottom w:val="none" w:sz="0" w:space="0" w:color="auto"/>
        <w:right w:val="none" w:sz="0" w:space="0" w:color="auto"/>
      </w:divBdr>
    </w:div>
    <w:div w:id="472916931">
      <w:marLeft w:val="0"/>
      <w:marRight w:val="0"/>
      <w:marTop w:val="10"/>
      <w:marBottom w:val="10"/>
      <w:divBdr>
        <w:top w:val="none" w:sz="0" w:space="0" w:color="auto"/>
        <w:left w:val="none" w:sz="0" w:space="0" w:color="auto"/>
        <w:bottom w:val="none" w:sz="0" w:space="0" w:color="auto"/>
        <w:right w:val="none" w:sz="0" w:space="0" w:color="auto"/>
      </w:divBdr>
    </w:div>
    <w:div w:id="473066305">
      <w:marLeft w:val="0"/>
      <w:marRight w:val="720"/>
      <w:marTop w:val="10"/>
      <w:marBottom w:val="10"/>
      <w:divBdr>
        <w:top w:val="none" w:sz="0" w:space="0" w:color="auto"/>
        <w:left w:val="none" w:sz="0" w:space="0" w:color="auto"/>
        <w:bottom w:val="none" w:sz="0" w:space="0" w:color="auto"/>
        <w:right w:val="none" w:sz="0" w:space="0" w:color="auto"/>
      </w:divBdr>
    </w:div>
    <w:div w:id="595140320">
      <w:marLeft w:val="0"/>
      <w:marRight w:val="0"/>
      <w:marTop w:val="10"/>
      <w:marBottom w:val="10"/>
      <w:divBdr>
        <w:top w:val="none" w:sz="0" w:space="0" w:color="auto"/>
        <w:left w:val="none" w:sz="0" w:space="0" w:color="auto"/>
        <w:bottom w:val="none" w:sz="0" w:space="0" w:color="auto"/>
        <w:right w:val="none" w:sz="0" w:space="0" w:color="auto"/>
      </w:divBdr>
    </w:div>
    <w:div w:id="645476647">
      <w:marLeft w:val="0"/>
      <w:marRight w:val="0"/>
      <w:marTop w:val="10"/>
      <w:marBottom w:val="10"/>
      <w:divBdr>
        <w:top w:val="none" w:sz="0" w:space="0" w:color="auto"/>
        <w:left w:val="none" w:sz="0" w:space="0" w:color="auto"/>
        <w:bottom w:val="none" w:sz="0" w:space="0" w:color="auto"/>
        <w:right w:val="none" w:sz="0" w:space="0" w:color="auto"/>
      </w:divBdr>
    </w:div>
    <w:div w:id="798259957">
      <w:marLeft w:val="0"/>
      <w:marRight w:val="0"/>
      <w:marTop w:val="10"/>
      <w:marBottom w:val="10"/>
      <w:divBdr>
        <w:top w:val="none" w:sz="0" w:space="0" w:color="auto"/>
        <w:left w:val="none" w:sz="0" w:space="0" w:color="auto"/>
        <w:bottom w:val="none" w:sz="0" w:space="0" w:color="auto"/>
        <w:right w:val="none" w:sz="0" w:space="0" w:color="auto"/>
      </w:divBdr>
    </w:div>
    <w:div w:id="812723565">
      <w:marLeft w:val="0"/>
      <w:marRight w:val="720"/>
      <w:marTop w:val="10"/>
      <w:marBottom w:val="10"/>
      <w:divBdr>
        <w:top w:val="none" w:sz="0" w:space="0" w:color="auto"/>
        <w:left w:val="none" w:sz="0" w:space="0" w:color="auto"/>
        <w:bottom w:val="none" w:sz="0" w:space="0" w:color="auto"/>
        <w:right w:val="none" w:sz="0" w:space="0" w:color="auto"/>
      </w:divBdr>
    </w:div>
    <w:div w:id="920329084">
      <w:marLeft w:val="0"/>
      <w:marRight w:val="0"/>
      <w:marTop w:val="10"/>
      <w:marBottom w:val="10"/>
      <w:divBdr>
        <w:top w:val="none" w:sz="0" w:space="0" w:color="auto"/>
        <w:left w:val="none" w:sz="0" w:space="0" w:color="auto"/>
        <w:bottom w:val="none" w:sz="0" w:space="0" w:color="auto"/>
        <w:right w:val="none" w:sz="0" w:space="0" w:color="auto"/>
      </w:divBdr>
    </w:div>
    <w:div w:id="964845041">
      <w:marLeft w:val="0"/>
      <w:marRight w:val="720"/>
      <w:marTop w:val="10"/>
      <w:marBottom w:val="10"/>
      <w:divBdr>
        <w:top w:val="none" w:sz="0" w:space="0" w:color="auto"/>
        <w:left w:val="none" w:sz="0" w:space="0" w:color="auto"/>
        <w:bottom w:val="none" w:sz="0" w:space="0" w:color="auto"/>
        <w:right w:val="none" w:sz="0" w:space="0" w:color="auto"/>
      </w:divBdr>
    </w:div>
    <w:div w:id="1028143773">
      <w:marLeft w:val="0"/>
      <w:marRight w:val="0"/>
      <w:marTop w:val="10"/>
      <w:marBottom w:val="10"/>
      <w:divBdr>
        <w:top w:val="none" w:sz="0" w:space="0" w:color="auto"/>
        <w:left w:val="none" w:sz="0" w:space="0" w:color="auto"/>
        <w:bottom w:val="none" w:sz="0" w:space="0" w:color="auto"/>
        <w:right w:val="none" w:sz="0" w:space="0" w:color="auto"/>
      </w:divBdr>
    </w:div>
    <w:div w:id="1061487132">
      <w:marLeft w:val="0"/>
      <w:marRight w:val="0"/>
      <w:marTop w:val="10"/>
      <w:marBottom w:val="10"/>
      <w:divBdr>
        <w:top w:val="none" w:sz="0" w:space="0" w:color="auto"/>
        <w:left w:val="none" w:sz="0" w:space="0" w:color="auto"/>
        <w:bottom w:val="none" w:sz="0" w:space="0" w:color="auto"/>
        <w:right w:val="none" w:sz="0" w:space="0" w:color="auto"/>
      </w:divBdr>
    </w:div>
    <w:div w:id="1120683244">
      <w:marLeft w:val="0"/>
      <w:marRight w:val="0"/>
      <w:marTop w:val="10"/>
      <w:marBottom w:val="10"/>
      <w:divBdr>
        <w:top w:val="none" w:sz="0" w:space="0" w:color="auto"/>
        <w:left w:val="none" w:sz="0" w:space="0" w:color="auto"/>
        <w:bottom w:val="none" w:sz="0" w:space="0" w:color="auto"/>
        <w:right w:val="none" w:sz="0" w:space="0" w:color="auto"/>
      </w:divBdr>
    </w:div>
    <w:div w:id="1140152911">
      <w:marLeft w:val="0"/>
      <w:marRight w:val="0"/>
      <w:marTop w:val="10"/>
      <w:marBottom w:val="10"/>
      <w:divBdr>
        <w:top w:val="none" w:sz="0" w:space="0" w:color="auto"/>
        <w:left w:val="none" w:sz="0" w:space="0" w:color="auto"/>
        <w:bottom w:val="none" w:sz="0" w:space="0" w:color="auto"/>
        <w:right w:val="none" w:sz="0" w:space="0" w:color="auto"/>
      </w:divBdr>
    </w:div>
    <w:div w:id="1195848046">
      <w:marLeft w:val="0"/>
      <w:marRight w:val="0"/>
      <w:marTop w:val="10"/>
      <w:marBottom w:val="10"/>
      <w:divBdr>
        <w:top w:val="none" w:sz="0" w:space="0" w:color="auto"/>
        <w:left w:val="none" w:sz="0" w:space="0" w:color="auto"/>
        <w:bottom w:val="none" w:sz="0" w:space="0" w:color="auto"/>
        <w:right w:val="none" w:sz="0" w:space="0" w:color="auto"/>
      </w:divBdr>
    </w:div>
    <w:div w:id="1523015443">
      <w:marLeft w:val="0"/>
      <w:marRight w:val="0"/>
      <w:marTop w:val="10"/>
      <w:marBottom w:val="10"/>
      <w:divBdr>
        <w:top w:val="none" w:sz="0" w:space="0" w:color="auto"/>
        <w:left w:val="none" w:sz="0" w:space="0" w:color="auto"/>
        <w:bottom w:val="none" w:sz="0" w:space="0" w:color="auto"/>
        <w:right w:val="none" w:sz="0" w:space="0" w:color="auto"/>
      </w:divBdr>
    </w:div>
    <w:div w:id="1637905181">
      <w:marLeft w:val="0"/>
      <w:marRight w:val="0"/>
      <w:marTop w:val="10"/>
      <w:marBottom w:val="10"/>
      <w:divBdr>
        <w:top w:val="none" w:sz="0" w:space="0" w:color="auto"/>
        <w:left w:val="none" w:sz="0" w:space="0" w:color="auto"/>
        <w:bottom w:val="none" w:sz="0" w:space="0" w:color="auto"/>
        <w:right w:val="none" w:sz="0" w:space="0" w:color="auto"/>
      </w:divBdr>
    </w:div>
    <w:div w:id="1771513142">
      <w:marLeft w:val="0"/>
      <w:marRight w:val="0"/>
      <w:marTop w:val="10"/>
      <w:marBottom w:val="10"/>
      <w:divBdr>
        <w:top w:val="none" w:sz="0" w:space="0" w:color="auto"/>
        <w:left w:val="none" w:sz="0" w:space="0" w:color="auto"/>
        <w:bottom w:val="none" w:sz="0" w:space="0" w:color="auto"/>
        <w:right w:val="none" w:sz="0" w:space="0" w:color="auto"/>
      </w:divBdr>
    </w:div>
    <w:div w:id="19814252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