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175B7" w:rsidRDefault="00B175B7">
      <w:pPr>
        <w:spacing w:line="500" w:lineRule="atLeast"/>
        <w:jc w:val="center"/>
        <w:divId w:val="756948734"/>
        <w:rPr>
          <w:rFonts w:ascii="黑体" w:eastAsia="黑体" w:hAnsi="黑体"/>
          <w:sz w:val="36"/>
          <w:szCs w:val="36"/>
        </w:rPr>
      </w:pPr>
      <w:r>
        <w:rPr>
          <w:rFonts w:ascii="黑体" w:eastAsia="黑体" w:hAnsi="黑体" w:hint="eastAsia"/>
          <w:sz w:val="36"/>
          <w:szCs w:val="36"/>
        </w:rPr>
        <w:t>广东省紫金县人民法院</w:t>
      </w:r>
    </w:p>
    <w:p w:rsidR="00B175B7" w:rsidRDefault="00B175B7">
      <w:pPr>
        <w:spacing w:line="500" w:lineRule="atLeast"/>
        <w:jc w:val="center"/>
        <w:divId w:val="210156052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175B7" w:rsidRDefault="00B175B7">
      <w:pPr>
        <w:spacing w:line="500" w:lineRule="atLeast"/>
        <w:jc w:val="right"/>
        <w:divId w:val="98782622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1621</w:t>
      </w:r>
      <w:r>
        <w:rPr>
          <w:rFonts w:hint="eastAsia"/>
          <w:sz w:val="30"/>
          <w:szCs w:val="30"/>
        </w:rPr>
        <w:t>刑初</w:t>
      </w:r>
      <w:r>
        <w:rPr>
          <w:rFonts w:hint="eastAsia"/>
          <w:sz w:val="30"/>
          <w:szCs w:val="30"/>
        </w:rPr>
        <w:t>219</w:t>
      </w:r>
      <w:r>
        <w:rPr>
          <w:rFonts w:hint="eastAsia"/>
          <w:sz w:val="30"/>
          <w:szCs w:val="30"/>
        </w:rPr>
        <w:t>号</w:t>
      </w:r>
    </w:p>
    <w:p w:rsidR="00B175B7" w:rsidRDefault="00B175B7">
      <w:pPr>
        <w:spacing w:line="500" w:lineRule="atLeast"/>
        <w:ind w:firstLine="600"/>
        <w:divId w:val="2078434351"/>
        <w:rPr>
          <w:rFonts w:hint="eastAsia"/>
          <w:sz w:val="30"/>
          <w:szCs w:val="30"/>
        </w:rPr>
      </w:pPr>
      <w:r>
        <w:rPr>
          <w:rFonts w:hint="eastAsia"/>
          <w:sz w:val="30"/>
          <w:szCs w:val="30"/>
        </w:rPr>
        <w:t>公诉机关广东省紫金县人民检察院。</w:t>
      </w:r>
    </w:p>
    <w:p w:rsidR="00B175B7" w:rsidRDefault="00B175B7">
      <w:pPr>
        <w:spacing w:line="500" w:lineRule="atLeast"/>
        <w:ind w:firstLine="600"/>
        <w:divId w:val="1926718047"/>
        <w:rPr>
          <w:rFonts w:hint="eastAsia"/>
          <w:sz w:val="30"/>
          <w:szCs w:val="30"/>
        </w:rPr>
      </w:pPr>
      <w:r>
        <w:rPr>
          <w:rFonts w:hint="eastAsia"/>
          <w:sz w:val="30"/>
          <w:szCs w:val="30"/>
        </w:rPr>
        <w:t>被告人贺某某，男，</w:t>
      </w:r>
      <w:r>
        <w:rPr>
          <w:rFonts w:hint="eastAsia"/>
          <w:sz w:val="30"/>
          <w:szCs w:val="30"/>
        </w:rPr>
        <w:t>1983</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日出生，广东省紫金县人，汉族，中专文化，紫金县龙窝镇城乡居民医疗保险办公室专职人员，因本案于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日被羁押，次日被刑事拘留，同年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日被逮捕。现羁押于广东省紫金县看守所。</w:t>
      </w:r>
    </w:p>
    <w:p w:rsidR="00B175B7" w:rsidRDefault="00B175B7">
      <w:pPr>
        <w:spacing w:line="500" w:lineRule="atLeast"/>
        <w:ind w:firstLine="600"/>
        <w:divId w:val="1853572489"/>
        <w:rPr>
          <w:rFonts w:hint="eastAsia"/>
          <w:sz w:val="30"/>
          <w:szCs w:val="30"/>
        </w:rPr>
      </w:pPr>
      <w:r>
        <w:rPr>
          <w:rFonts w:hint="eastAsia"/>
          <w:sz w:val="30"/>
          <w:szCs w:val="30"/>
        </w:rPr>
        <w:t>辩护人黎春华、赵塞竣，国信信扬律师事务所律师。</w:t>
      </w:r>
    </w:p>
    <w:p w:rsidR="00B175B7" w:rsidRDefault="00B175B7">
      <w:pPr>
        <w:spacing w:line="500" w:lineRule="atLeast"/>
        <w:ind w:firstLine="600"/>
        <w:divId w:val="729547030"/>
        <w:rPr>
          <w:rFonts w:hint="eastAsia"/>
          <w:sz w:val="30"/>
          <w:szCs w:val="30"/>
        </w:rPr>
      </w:pPr>
      <w:r>
        <w:rPr>
          <w:rFonts w:hint="eastAsia"/>
          <w:sz w:val="30"/>
          <w:szCs w:val="30"/>
        </w:rPr>
        <w:t>广东省紫金县人民检察院以紫检公诉刑诉</w:t>
      </w:r>
      <w:r>
        <w:rPr>
          <w:rFonts w:hint="eastAsia"/>
          <w:sz w:val="30"/>
          <w:szCs w:val="30"/>
        </w:rPr>
        <w:t>[2017]213</w:t>
      </w:r>
      <w:r>
        <w:rPr>
          <w:rFonts w:hint="eastAsia"/>
          <w:sz w:val="30"/>
          <w:szCs w:val="30"/>
        </w:rPr>
        <w:t>号起诉书指控被告人贺某某犯挪用公款罪，于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日向本院提起公诉。本院依法适用普通程序，组成合议庭，于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日公开开庭审理了本案。广东省紫金县人民检察院指派检察员张兆廉出庭支持公诉，被告人贺某某及其辩护人赵某某均到庭参加诉讼。现已审理终结。</w:t>
      </w:r>
    </w:p>
    <w:p w:rsidR="00B175B7" w:rsidRDefault="00B175B7">
      <w:pPr>
        <w:spacing w:line="500" w:lineRule="atLeast"/>
        <w:ind w:firstLine="600"/>
        <w:divId w:val="908467394"/>
        <w:rPr>
          <w:rFonts w:hint="eastAsia"/>
          <w:sz w:val="30"/>
          <w:szCs w:val="30"/>
        </w:rPr>
      </w:pPr>
      <w:r>
        <w:rPr>
          <w:rFonts w:hint="eastAsia"/>
          <w:sz w:val="30"/>
          <w:szCs w:val="30"/>
        </w:rPr>
        <w:t>法庭上，被告人贺某某对公诉机关指控的犯罪事实及罪名均无异议，自愿认罪。</w:t>
      </w:r>
    </w:p>
    <w:p w:rsidR="00B175B7" w:rsidRDefault="00B175B7">
      <w:pPr>
        <w:spacing w:line="500" w:lineRule="atLeast"/>
        <w:ind w:firstLine="600"/>
        <w:divId w:val="1169296362"/>
        <w:rPr>
          <w:rFonts w:hint="eastAsia"/>
          <w:sz w:val="30"/>
          <w:szCs w:val="30"/>
        </w:rPr>
      </w:pPr>
      <w:r>
        <w:rPr>
          <w:rFonts w:hint="eastAsia"/>
          <w:sz w:val="30"/>
          <w:szCs w:val="30"/>
        </w:rPr>
        <w:t>辩护人提出如下辩护意见：被告人贺某某具有自首情节；其犯罪情节较轻，且退清了全部赃款，有明显的悔罪表现，建议法院在三年以下有期徒刑的幅度内对其量刑并适用缓刑。</w:t>
      </w:r>
    </w:p>
    <w:p w:rsidR="00B175B7" w:rsidRDefault="00B175B7">
      <w:pPr>
        <w:spacing w:line="500" w:lineRule="atLeast"/>
        <w:ind w:firstLine="600"/>
        <w:divId w:val="440950959"/>
        <w:rPr>
          <w:rFonts w:hint="eastAsia"/>
          <w:sz w:val="30"/>
          <w:szCs w:val="30"/>
        </w:rPr>
      </w:pPr>
      <w:r>
        <w:rPr>
          <w:rFonts w:hint="eastAsia"/>
          <w:sz w:val="30"/>
          <w:szCs w:val="30"/>
        </w:rPr>
        <w:t>经审理查明，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8</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日，被告人贺某某在担任紫金县龙窝镇城乡居民医疗保险办公室专职人员时，利用职务之便，将其经手收取的龙窝镇</w:t>
      </w:r>
      <w:r>
        <w:rPr>
          <w:rFonts w:hint="eastAsia"/>
          <w:sz w:val="30"/>
          <w:szCs w:val="30"/>
        </w:rPr>
        <w:t>2016</w:t>
      </w:r>
      <w:r>
        <w:rPr>
          <w:rFonts w:hint="eastAsia"/>
          <w:sz w:val="30"/>
          <w:szCs w:val="30"/>
        </w:rPr>
        <w:t>年度城乡居民医疗保险费合计人民币</w:t>
      </w:r>
      <w:r>
        <w:rPr>
          <w:rFonts w:hint="eastAsia"/>
          <w:sz w:val="30"/>
          <w:szCs w:val="30"/>
        </w:rPr>
        <w:t>410288.39</w:t>
      </w:r>
      <w:r>
        <w:rPr>
          <w:rFonts w:hint="eastAsia"/>
          <w:sz w:val="30"/>
          <w:szCs w:val="30"/>
        </w:rPr>
        <w:t>元挪用于偿还其个人债务等方面，直至</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日才退回全部赃款至紫金县财政局社会保障基金帐户。</w:t>
      </w:r>
    </w:p>
    <w:p w:rsidR="00B175B7" w:rsidRDefault="00B175B7">
      <w:pPr>
        <w:spacing w:line="500" w:lineRule="atLeast"/>
        <w:ind w:firstLine="600"/>
        <w:divId w:val="1179808155"/>
        <w:rPr>
          <w:rFonts w:hint="eastAsia"/>
          <w:sz w:val="30"/>
          <w:szCs w:val="30"/>
        </w:rPr>
      </w:pPr>
      <w:r>
        <w:rPr>
          <w:rFonts w:hint="eastAsia"/>
          <w:sz w:val="30"/>
          <w:szCs w:val="30"/>
        </w:rPr>
        <w:lastRenderedPageBreak/>
        <w:t>另查明，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日，被告人贺某某在犯罪事实被办案机关掌握后，尚未受到调查谈话、讯问时向办案机关投案。</w:t>
      </w:r>
    </w:p>
    <w:p w:rsidR="00B175B7" w:rsidRDefault="00B175B7">
      <w:pPr>
        <w:spacing w:line="500" w:lineRule="atLeast"/>
        <w:ind w:firstLine="600"/>
        <w:divId w:val="1872105964"/>
        <w:rPr>
          <w:rFonts w:hint="eastAsia"/>
          <w:sz w:val="30"/>
          <w:szCs w:val="30"/>
        </w:rPr>
      </w:pPr>
      <w:r>
        <w:rPr>
          <w:rFonts w:hint="eastAsia"/>
          <w:sz w:val="30"/>
          <w:szCs w:val="30"/>
        </w:rPr>
        <w:t>上述事实，被告人贺某某在开庭审理过程中亦无异议，并有中共紫金县纪律检查委员会关于贺某某问题线索移送的函，立案决定书，证人刘某某、谢某某、黄某某、曾某某、张某某、林某某、郭某某、陈某某、钟某某、黄某甲、温某某、刘某甲、黄某乙、叶某某、刘某甲、黄某丙、许某某、黄某丁、许某甲、朱某某、许某乙、李某某、黄某戊、黄某己、邓某某、黄某庚、邓某甲、许某丙、黄某辛、黄某壬、马某某、黄某癸、曾某甲、马某甲、邓某乙、钟某甲、廖某某、钟某甲、钟某乙、朱某甲、曾某乙、钟某丙证言，银行流水明细、银行凭条、客户回单，紫金县城乡居民医疗保险办公室出具的情况说明、证明，紫金县龙窝镇人民政府出具的情况说明，紫金县人民检察院出具的归案说明，户籍资料及被告人贺某某供述等证据予以证实，足以认定。</w:t>
      </w:r>
    </w:p>
    <w:p w:rsidR="00B175B7" w:rsidRDefault="00B175B7">
      <w:pPr>
        <w:spacing w:line="500" w:lineRule="atLeast"/>
        <w:ind w:firstLine="600"/>
        <w:divId w:val="91240596"/>
        <w:rPr>
          <w:rFonts w:hint="eastAsia"/>
          <w:sz w:val="30"/>
          <w:szCs w:val="30"/>
        </w:rPr>
      </w:pPr>
      <w:r>
        <w:rPr>
          <w:rFonts w:hint="eastAsia"/>
          <w:sz w:val="30"/>
          <w:szCs w:val="30"/>
        </w:rPr>
        <w:t>本院认为，被告人贺某某身为国家工作人员，利用职务之便，挪用公款归个人使用，数额较大，超过三个月未还，其行为已构成挪用公款罪。公诉机关的指控，事实清楚，证据确实、充分，本院予以支持。被告人贺某某在犯罪事实被掌握后，尚未受到调查谈话、讯问时向办案机关投案，归案后如实供述其犯罪事实，属于自首，且退清款项，具有一定的悔罪表现，依法可予从轻处罚。辩护人提出的辩护意见，经查基本属实，本院予以采纳。综合本案案情及被告人贺某某的认罪态度、悔罪表现及社会影响等因素，辩护人提出对被告人贺某某判处三年以下有期徒刑的量刑建议予以采纳；但是适用缓刑，与罪刑相适应的刑法原则相悖，不予采纳。依照《中华人民共和国刑法》第三百八十四条、第六十七条第一款及《最高人民法院、最高人民检察院关于办理职务犯罪案件认定自首、立功等量刑情节若干问题的意见》第一条、《最高人民法院、最高人民检察院关于办理贪污贿赂刑事案件适用法律若干问题的解释》第五条的规定，判决如下：</w:t>
      </w:r>
    </w:p>
    <w:p w:rsidR="00B175B7" w:rsidRDefault="00B175B7">
      <w:pPr>
        <w:spacing w:line="500" w:lineRule="atLeast"/>
        <w:ind w:firstLine="600"/>
        <w:divId w:val="812676494"/>
        <w:rPr>
          <w:rFonts w:hint="eastAsia"/>
          <w:sz w:val="30"/>
          <w:szCs w:val="30"/>
        </w:rPr>
      </w:pPr>
      <w:r>
        <w:rPr>
          <w:rFonts w:hint="eastAsia"/>
          <w:sz w:val="30"/>
          <w:szCs w:val="30"/>
        </w:rPr>
        <w:t>被告人贺某某犯挪用公款罪，判处有期徒刑二年。</w:t>
      </w:r>
    </w:p>
    <w:p w:rsidR="00B175B7" w:rsidRDefault="00B175B7">
      <w:pPr>
        <w:spacing w:line="500" w:lineRule="atLeast"/>
        <w:ind w:firstLine="600"/>
        <w:divId w:val="2048791463"/>
        <w:rPr>
          <w:rFonts w:hint="eastAsia"/>
          <w:sz w:val="30"/>
          <w:szCs w:val="30"/>
        </w:rPr>
      </w:pPr>
      <w:r>
        <w:rPr>
          <w:rFonts w:hint="eastAsia"/>
          <w:sz w:val="30"/>
          <w:szCs w:val="30"/>
        </w:rPr>
        <w:t>(</w:t>
      </w: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日止。</w:t>
      </w:r>
      <w:r>
        <w:rPr>
          <w:rFonts w:hint="eastAsia"/>
          <w:sz w:val="30"/>
          <w:szCs w:val="30"/>
        </w:rPr>
        <w:t>)</w:t>
      </w:r>
    </w:p>
    <w:p w:rsidR="00B175B7" w:rsidRDefault="00B175B7">
      <w:pPr>
        <w:spacing w:line="500" w:lineRule="atLeast"/>
        <w:ind w:firstLine="600"/>
        <w:divId w:val="1794245857"/>
        <w:rPr>
          <w:rFonts w:hint="eastAsia"/>
          <w:sz w:val="30"/>
          <w:szCs w:val="30"/>
        </w:rPr>
      </w:pPr>
      <w:r>
        <w:rPr>
          <w:rFonts w:hint="eastAsia"/>
          <w:sz w:val="30"/>
          <w:szCs w:val="30"/>
        </w:rPr>
        <w:t>如不服本判决，可在接到判决书的第二日起十日内，通过本院或者直接向广东省河源市中级人民法院提出上诉。书面上诉的，应当提交上诉状正本一份，副本二份。</w:t>
      </w:r>
    </w:p>
    <w:p w:rsidR="00B175B7" w:rsidRDefault="00B175B7">
      <w:pPr>
        <w:spacing w:line="500" w:lineRule="atLeast"/>
        <w:jc w:val="right"/>
        <w:divId w:val="1209102587"/>
        <w:rPr>
          <w:rFonts w:hint="eastAsia"/>
          <w:sz w:val="30"/>
          <w:szCs w:val="30"/>
        </w:rPr>
      </w:pPr>
      <w:r>
        <w:rPr>
          <w:rFonts w:hint="eastAsia"/>
          <w:sz w:val="30"/>
          <w:szCs w:val="30"/>
        </w:rPr>
        <w:t>审判长　蓝　　　　兰　　　　芳</w:t>
      </w:r>
    </w:p>
    <w:p w:rsidR="00B175B7" w:rsidRDefault="00B175B7">
      <w:pPr>
        <w:spacing w:line="500" w:lineRule="atLeast"/>
        <w:jc w:val="right"/>
        <w:divId w:val="47730420"/>
        <w:rPr>
          <w:rFonts w:hint="eastAsia"/>
          <w:sz w:val="30"/>
          <w:szCs w:val="30"/>
        </w:rPr>
      </w:pPr>
      <w:r>
        <w:rPr>
          <w:rFonts w:hint="eastAsia"/>
          <w:sz w:val="30"/>
          <w:szCs w:val="30"/>
        </w:rPr>
        <w:t>审判员　傅卓君人民陪审员张练良</w:t>
      </w:r>
    </w:p>
    <w:p w:rsidR="00B175B7" w:rsidRDefault="00B175B7">
      <w:pPr>
        <w:spacing w:line="500" w:lineRule="atLeast"/>
        <w:jc w:val="right"/>
        <w:divId w:val="1949778491"/>
        <w:rPr>
          <w:rFonts w:hint="eastAsia"/>
          <w:sz w:val="30"/>
          <w:szCs w:val="30"/>
        </w:rPr>
      </w:pPr>
      <w:r>
        <w:rPr>
          <w:rFonts w:hint="eastAsia"/>
          <w:sz w:val="30"/>
          <w:szCs w:val="30"/>
        </w:rPr>
        <w:t>二〇一七年十月二十六日</w:t>
      </w:r>
    </w:p>
    <w:p w:rsidR="00B175B7" w:rsidRDefault="00B175B7">
      <w:pPr>
        <w:spacing w:line="500" w:lineRule="atLeast"/>
        <w:jc w:val="right"/>
        <w:divId w:val="1915427865"/>
        <w:rPr>
          <w:rFonts w:hint="eastAsia"/>
          <w:sz w:val="30"/>
          <w:szCs w:val="30"/>
        </w:rPr>
      </w:pPr>
      <w:r>
        <w:rPr>
          <w:rFonts w:hint="eastAsia"/>
          <w:sz w:val="30"/>
          <w:szCs w:val="30"/>
        </w:rPr>
        <w:t>书记员　罗　　　　春　　　　霞</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175B7" w:rsidRDefault="00B175B7" w:rsidP="00B175B7">
      <w:pPr>
        <w:rPr>
          <w:rFonts w:hint="eastAsia"/>
        </w:rPr>
      </w:pPr>
      <w:r>
        <w:separator/>
      </w:r>
    </w:p>
  </w:endnote>
  <w:endnote w:type="continuationSeparator" w:id="0">
    <w:p w:rsidR="00B175B7" w:rsidRDefault="00B175B7" w:rsidP="00B175B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175B7" w:rsidRDefault="00B175B7" w:rsidP="00B175B7">
      <w:pPr>
        <w:rPr>
          <w:rFonts w:hint="eastAsia"/>
        </w:rPr>
      </w:pPr>
      <w:r>
        <w:separator/>
      </w:r>
    </w:p>
  </w:footnote>
  <w:footnote w:type="continuationSeparator" w:id="0">
    <w:p w:rsidR="00B175B7" w:rsidRDefault="00B175B7" w:rsidP="00B175B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175B7"/>
    <w:rsid w:val="007235DD"/>
    <w:rsid w:val="00B175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B175B7"/>
    <w:pPr>
      <w:tabs>
        <w:tab w:val="center" w:pos="4153"/>
        <w:tab w:val="right" w:pos="8306"/>
      </w:tabs>
      <w:snapToGrid w:val="0"/>
      <w:jc w:val="center"/>
    </w:pPr>
    <w:rPr>
      <w:sz w:val="18"/>
      <w:szCs w:val="18"/>
    </w:rPr>
  </w:style>
  <w:style w:type="character" w:customStyle="1" w:styleId="a5">
    <w:name w:val="页眉 字符"/>
    <w:basedOn w:val="a0"/>
    <w:link w:val="a4"/>
    <w:uiPriority w:val="99"/>
    <w:rsid w:val="00B175B7"/>
    <w:rPr>
      <w:rFonts w:ascii="宋体" w:eastAsia="宋体" w:hAnsi="宋体" w:cs="宋体"/>
      <w:sz w:val="18"/>
      <w:szCs w:val="18"/>
    </w:rPr>
  </w:style>
  <w:style w:type="paragraph" w:styleId="a6">
    <w:name w:val="footer"/>
    <w:basedOn w:val="a"/>
    <w:link w:val="a7"/>
    <w:uiPriority w:val="99"/>
    <w:unhideWhenUsed/>
    <w:rsid w:val="00B175B7"/>
    <w:pPr>
      <w:tabs>
        <w:tab w:val="center" w:pos="4153"/>
        <w:tab w:val="right" w:pos="8306"/>
      </w:tabs>
      <w:snapToGrid w:val="0"/>
    </w:pPr>
    <w:rPr>
      <w:sz w:val="18"/>
      <w:szCs w:val="18"/>
    </w:rPr>
  </w:style>
  <w:style w:type="character" w:customStyle="1" w:styleId="a7">
    <w:name w:val="页脚 字符"/>
    <w:basedOn w:val="a0"/>
    <w:link w:val="a6"/>
    <w:uiPriority w:val="99"/>
    <w:rsid w:val="00B175B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730420">
      <w:marLeft w:val="0"/>
      <w:marRight w:val="720"/>
      <w:marTop w:val="10"/>
      <w:marBottom w:val="10"/>
      <w:divBdr>
        <w:top w:val="none" w:sz="0" w:space="0" w:color="auto"/>
        <w:left w:val="none" w:sz="0" w:space="0" w:color="auto"/>
        <w:bottom w:val="none" w:sz="0" w:space="0" w:color="auto"/>
        <w:right w:val="none" w:sz="0" w:space="0" w:color="auto"/>
      </w:divBdr>
    </w:div>
    <w:div w:id="91240596">
      <w:marLeft w:val="0"/>
      <w:marRight w:val="0"/>
      <w:marTop w:val="10"/>
      <w:marBottom w:val="10"/>
      <w:divBdr>
        <w:top w:val="none" w:sz="0" w:space="0" w:color="auto"/>
        <w:left w:val="none" w:sz="0" w:space="0" w:color="auto"/>
        <w:bottom w:val="none" w:sz="0" w:space="0" w:color="auto"/>
        <w:right w:val="none" w:sz="0" w:space="0" w:color="auto"/>
      </w:divBdr>
    </w:div>
    <w:div w:id="440950959">
      <w:marLeft w:val="0"/>
      <w:marRight w:val="0"/>
      <w:marTop w:val="10"/>
      <w:marBottom w:val="10"/>
      <w:divBdr>
        <w:top w:val="none" w:sz="0" w:space="0" w:color="auto"/>
        <w:left w:val="none" w:sz="0" w:space="0" w:color="auto"/>
        <w:bottom w:val="none" w:sz="0" w:space="0" w:color="auto"/>
        <w:right w:val="none" w:sz="0" w:space="0" w:color="auto"/>
      </w:divBdr>
    </w:div>
    <w:div w:id="729547030">
      <w:marLeft w:val="0"/>
      <w:marRight w:val="0"/>
      <w:marTop w:val="10"/>
      <w:marBottom w:val="10"/>
      <w:divBdr>
        <w:top w:val="none" w:sz="0" w:space="0" w:color="auto"/>
        <w:left w:val="none" w:sz="0" w:space="0" w:color="auto"/>
        <w:bottom w:val="none" w:sz="0" w:space="0" w:color="auto"/>
        <w:right w:val="none" w:sz="0" w:space="0" w:color="auto"/>
      </w:divBdr>
    </w:div>
    <w:div w:id="756948734">
      <w:marLeft w:val="0"/>
      <w:marRight w:val="0"/>
      <w:marTop w:val="10"/>
      <w:marBottom w:val="10"/>
      <w:divBdr>
        <w:top w:val="none" w:sz="0" w:space="0" w:color="auto"/>
        <w:left w:val="none" w:sz="0" w:space="0" w:color="auto"/>
        <w:bottom w:val="none" w:sz="0" w:space="0" w:color="auto"/>
        <w:right w:val="none" w:sz="0" w:space="0" w:color="auto"/>
      </w:divBdr>
    </w:div>
    <w:div w:id="812676494">
      <w:marLeft w:val="0"/>
      <w:marRight w:val="0"/>
      <w:marTop w:val="10"/>
      <w:marBottom w:val="10"/>
      <w:divBdr>
        <w:top w:val="none" w:sz="0" w:space="0" w:color="auto"/>
        <w:left w:val="none" w:sz="0" w:space="0" w:color="auto"/>
        <w:bottom w:val="none" w:sz="0" w:space="0" w:color="auto"/>
        <w:right w:val="none" w:sz="0" w:space="0" w:color="auto"/>
      </w:divBdr>
    </w:div>
    <w:div w:id="908467394">
      <w:marLeft w:val="0"/>
      <w:marRight w:val="0"/>
      <w:marTop w:val="10"/>
      <w:marBottom w:val="10"/>
      <w:divBdr>
        <w:top w:val="none" w:sz="0" w:space="0" w:color="auto"/>
        <w:left w:val="none" w:sz="0" w:space="0" w:color="auto"/>
        <w:bottom w:val="none" w:sz="0" w:space="0" w:color="auto"/>
        <w:right w:val="none" w:sz="0" w:space="0" w:color="auto"/>
      </w:divBdr>
    </w:div>
    <w:div w:id="987826223">
      <w:marLeft w:val="0"/>
      <w:marRight w:val="0"/>
      <w:marTop w:val="10"/>
      <w:marBottom w:val="10"/>
      <w:divBdr>
        <w:top w:val="none" w:sz="0" w:space="0" w:color="auto"/>
        <w:left w:val="none" w:sz="0" w:space="0" w:color="auto"/>
        <w:bottom w:val="none" w:sz="0" w:space="0" w:color="auto"/>
        <w:right w:val="none" w:sz="0" w:space="0" w:color="auto"/>
      </w:divBdr>
    </w:div>
    <w:div w:id="1169296362">
      <w:marLeft w:val="0"/>
      <w:marRight w:val="0"/>
      <w:marTop w:val="10"/>
      <w:marBottom w:val="10"/>
      <w:divBdr>
        <w:top w:val="none" w:sz="0" w:space="0" w:color="auto"/>
        <w:left w:val="none" w:sz="0" w:space="0" w:color="auto"/>
        <w:bottom w:val="none" w:sz="0" w:space="0" w:color="auto"/>
        <w:right w:val="none" w:sz="0" w:space="0" w:color="auto"/>
      </w:divBdr>
    </w:div>
    <w:div w:id="1179808155">
      <w:marLeft w:val="0"/>
      <w:marRight w:val="0"/>
      <w:marTop w:val="10"/>
      <w:marBottom w:val="10"/>
      <w:divBdr>
        <w:top w:val="none" w:sz="0" w:space="0" w:color="auto"/>
        <w:left w:val="none" w:sz="0" w:space="0" w:color="auto"/>
        <w:bottom w:val="none" w:sz="0" w:space="0" w:color="auto"/>
        <w:right w:val="none" w:sz="0" w:space="0" w:color="auto"/>
      </w:divBdr>
    </w:div>
    <w:div w:id="1209102587">
      <w:marLeft w:val="0"/>
      <w:marRight w:val="720"/>
      <w:marTop w:val="10"/>
      <w:marBottom w:val="10"/>
      <w:divBdr>
        <w:top w:val="none" w:sz="0" w:space="0" w:color="auto"/>
        <w:left w:val="none" w:sz="0" w:space="0" w:color="auto"/>
        <w:bottom w:val="none" w:sz="0" w:space="0" w:color="auto"/>
        <w:right w:val="none" w:sz="0" w:space="0" w:color="auto"/>
      </w:divBdr>
    </w:div>
    <w:div w:id="1794245857">
      <w:marLeft w:val="0"/>
      <w:marRight w:val="0"/>
      <w:marTop w:val="10"/>
      <w:marBottom w:val="10"/>
      <w:divBdr>
        <w:top w:val="none" w:sz="0" w:space="0" w:color="auto"/>
        <w:left w:val="none" w:sz="0" w:space="0" w:color="auto"/>
        <w:bottom w:val="none" w:sz="0" w:space="0" w:color="auto"/>
        <w:right w:val="none" w:sz="0" w:space="0" w:color="auto"/>
      </w:divBdr>
    </w:div>
    <w:div w:id="1853572489">
      <w:marLeft w:val="0"/>
      <w:marRight w:val="0"/>
      <w:marTop w:val="10"/>
      <w:marBottom w:val="10"/>
      <w:divBdr>
        <w:top w:val="none" w:sz="0" w:space="0" w:color="auto"/>
        <w:left w:val="none" w:sz="0" w:space="0" w:color="auto"/>
        <w:bottom w:val="none" w:sz="0" w:space="0" w:color="auto"/>
        <w:right w:val="none" w:sz="0" w:space="0" w:color="auto"/>
      </w:divBdr>
    </w:div>
    <w:div w:id="1872105964">
      <w:marLeft w:val="0"/>
      <w:marRight w:val="0"/>
      <w:marTop w:val="10"/>
      <w:marBottom w:val="10"/>
      <w:divBdr>
        <w:top w:val="none" w:sz="0" w:space="0" w:color="auto"/>
        <w:left w:val="none" w:sz="0" w:space="0" w:color="auto"/>
        <w:bottom w:val="none" w:sz="0" w:space="0" w:color="auto"/>
        <w:right w:val="none" w:sz="0" w:space="0" w:color="auto"/>
      </w:divBdr>
    </w:div>
    <w:div w:id="1915427865">
      <w:marLeft w:val="0"/>
      <w:marRight w:val="720"/>
      <w:marTop w:val="10"/>
      <w:marBottom w:val="10"/>
      <w:divBdr>
        <w:top w:val="none" w:sz="0" w:space="0" w:color="auto"/>
        <w:left w:val="none" w:sz="0" w:space="0" w:color="auto"/>
        <w:bottom w:val="none" w:sz="0" w:space="0" w:color="auto"/>
        <w:right w:val="none" w:sz="0" w:space="0" w:color="auto"/>
      </w:divBdr>
    </w:div>
    <w:div w:id="1926718047">
      <w:marLeft w:val="0"/>
      <w:marRight w:val="0"/>
      <w:marTop w:val="10"/>
      <w:marBottom w:val="10"/>
      <w:divBdr>
        <w:top w:val="none" w:sz="0" w:space="0" w:color="auto"/>
        <w:left w:val="none" w:sz="0" w:space="0" w:color="auto"/>
        <w:bottom w:val="none" w:sz="0" w:space="0" w:color="auto"/>
        <w:right w:val="none" w:sz="0" w:space="0" w:color="auto"/>
      </w:divBdr>
    </w:div>
    <w:div w:id="1949778491">
      <w:marLeft w:val="0"/>
      <w:marRight w:val="720"/>
      <w:marTop w:val="10"/>
      <w:marBottom w:val="10"/>
      <w:divBdr>
        <w:top w:val="none" w:sz="0" w:space="0" w:color="auto"/>
        <w:left w:val="none" w:sz="0" w:space="0" w:color="auto"/>
        <w:bottom w:val="none" w:sz="0" w:space="0" w:color="auto"/>
        <w:right w:val="none" w:sz="0" w:space="0" w:color="auto"/>
      </w:divBdr>
    </w:div>
    <w:div w:id="2048791463">
      <w:marLeft w:val="0"/>
      <w:marRight w:val="0"/>
      <w:marTop w:val="10"/>
      <w:marBottom w:val="10"/>
      <w:divBdr>
        <w:top w:val="none" w:sz="0" w:space="0" w:color="auto"/>
        <w:left w:val="none" w:sz="0" w:space="0" w:color="auto"/>
        <w:bottom w:val="none" w:sz="0" w:space="0" w:color="auto"/>
        <w:right w:val="none" w:sz="0" w:space="0" w:color="auto"/>
      </w:divBdr>
    </w:div>
    <w:div w:id="2078434351">
      <w:marLeft w:val="0"/>
      <w:marRight w:val="0"/>
      <w:marTop w:val="10"/>
      <w:marBottom w:val="10"/>
      <w:divBdr>
        <w:top w:val="none" w:sz="0" w:space="0" w:color="auto"/>
        <w:left w:val="none" w:sz="0" w:space="0" w:color="auto"/>
        <w:bottom w:val="none" w:sz="0" w:space="0" w:color="auto"/>
        <w:right w:val="none" w:sz="0" w:space="0" w:color="auto"/>
      </w:divBdr>
    </w:div>
    <w:div w:id="210156052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245</Words>
  <Characters>1401</Characters>
  <Application>Microsoft Office Word</Application>
  <DocSecurity>0</DocSecurity>
  <Lines>11</Lines>
  <Paragraphs>3</Paragraphs>
  <ScaleCrop>false</ScaleCrop>
  <Company/>
  <LinksUpToDate>false</LinksUpToDate>
  <CharactersWithSpaces>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