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0A16" w:rsidRDefault="005D0A16">
      <w:pPr>
        <w:spacing w:line="500" w:lineRule="atLeast"/>
        <w:jc w:val="center"/>
        <w:divId w:val="1517302144"/>
        <w:rPr>
          <w:rFonts w:ascii="黑体" w:eastAsia="黑体" w:hAnsi="黑体"/>
          <w:sz w:val="36"/>
          <w:szCs w:val="36"/>
        </w:rPr>
      </w:pPr>
      <w:r>
        <w:rPr>
          <w:rFonts w:ascii="黑体" w:eastAsia="黑体" w:hAnsi="黑体" w:hint="eastAsia"/>
          <w:sz w:val="36"/>
          <w:szCs w:val="36"/>
        </w:rPr>
        <w:t>广东省珠海市斗门区人民法院</w:t>
      </w:r>
    </w:p>
    <w:p w:rsidR="005D0A16" w:rsidRDefault="005D0A16">
      <w:pPr>
        <w:spacing w:line="500" w:lineRule="atLeast"/>
        <w:jc w:val="center"/>
        <w:divId w:val="4525550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D0A16" w:rsidRDefault="005D0A16">
      <w:pPr>
        <w:spacing w:line="500" w:lineRule="atLeast"/>
        <w:jc w:val="right"/>
        <w:divId w:val="160244027"/>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581</w:t>
      </w:r>
      <w:r>
        <w:rPr>
          <w:rFonts w:hint="eastAsia"/>
          <w:sz w:val="30"/>
          <w:szCs w:val="30"/>
        </w:rPr>
        <w:t>号</w:t>
      </w:r>
    </w:p>
    <w:p w:rsidR="005D0A16" w:rsidRDefault="005D0A16">
      <w:pPr>
        <w:spacing w:line="500" w:lineRule="atLeast"/>
        <w:ind w:firstLine="600"/>
        <w:divId w:val="1977946610"/>
        <w:rPr>
          <w:rFonts w:hint="eastAsia"/>
          <w:sz w:val="30"/>
          <w:szCs w:val="30"/>
        </w:rPr>
      </w:pPr>
      <w:r>
        <w:rPr>
          <w:rFonts w:hint="eastAsia"/>
          <w:sz w:val="30"/>
          <w:szCs w:val="30"/>
        </w:rPr>
        <w:t>公诉机关珠海市斗门区人民检察院。</w:t>
      </w:r>
    </w:p>
    <w:p w:rsidR="005D0A16" w:rsidRDefault="005D0A16">
      <w:pPr>
        <w:spacing w:line="500" w:lineRule="atLeast"/>
        <w:ind w:firstLine="600"/>
        <w:divId w:val="1851525672"/>
        <w:rPr>
          <w:rFonts w:hint="eastAsia"/>
          <w:sz w:val="30"/>
          <w:szCs w:val="30"/>
        </w:rPr>
      </w:pPr>
      <w:r>
        <w:rPr>
          <w:rFonts w:hint="eastAsia"/>
          <w:sz w:val="30"/>
          <w:szCs w:val="30"/>
        </w:rPr>
        <w:t>被告人赵某某，男，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日出生，汉族，广东省江门市人，初中文化，经理。因本案于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日被取保候审。</w:t>
      </w:r>
    </w:p>
    <w:p w:rsidR="005D0A16" w:rsidRDefault="005D0A16">
      <w:pPr>
        <w:spacing w:line="500" w:lineRule="atLeast"/>
        <w:ind w:firstLine="600"/>
        <w:divId w:val="1022784124"/>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579</w:t>
      </w:r>
      <w:r>
        <w:rPr>
          <w:rFonts w:hint="eastAsia"/>
          <w:sz w:val="30"/>
          <w:szCs w:val="30"/>
        </w:rPr>
        <w:t>号起诉书指控被告人赵某某犯私分国有资产罪，于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日向本院提起公诉。本院受理后，依法适用简易程序组成合议庭，公开开庭审理了本案，珠海市斗门区人民检察院指派代理检察员肖婉君出庭支持公诉，被告人赵某某到庭参加了诉讼。本案现已审理终结。</w:t>
      </w:r>
    </w:p>
    <w:p w:rsidR="005D0A16" w:rsidRDefault="005D0A16">
      <w:pPr>
        <w:spacing w:line="500" w:lineRule="atLeast"/>
        <w:ind w:firstLine="600"/>
        <w:divId w:val="607665752"/>
        <w:rPr>
          <w:rFonts w:hint="eastAsia"/>
          <w:sz w:val="30"/>
          <w:szCs w:val="30"/>
        </w:rPr>
      </w:pPr>
      <w:r>
        <w:rPr>
          <w:rFonts w:hint="eastAsia"/>
          <w:sz w:val="30"/>
          <w:szCs w:val="30"/>
        </w:rPr>
        <w:t>经审理查明，珠海市斗门区市政工程公司的前身是斗门县县城建设办公室下属的市政工程队，其注册资金来源于斗门县县城建设办公室及斗门县人民政府的拨款。</w:t>
      </w:r>
      <w:r>
        <w:rPr>
          <w:rFonts w:hint="eastAsia"/>
          <w:sz w:val="30"/>
          <w:szCs w:val="30"/>
        </w:rPr>
        <w:t>1992</w:t>
      </w:r>
      <w:r>
        <w:rPr>
          <w:rFonts w:hint="eastAsia"/>
          <w:sz w:val="30"/>
          <w:szCs w:val="30"/>
        </w:rPr>
        <w:t>年，该市政工程队更名为斗门县市政工程公司，后又更名为斗门区市政工程公司，是国有独资公司，由斗门区宏源资产经营有限公司负责监管。被告人赵某某于</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月开始担任斗门区市政工程公司的副经理。</w:t>
      </w:r>
    </w:p>
    <w:p w:rsidR="005D0A16" w:rsidRDefault="005D0A16">
      <w:pPr>
        <w:spacing w:line="500" w:lineRule="atLeast"/>
        <w:ind w:firstLine="600"/>
        <w:divId w:val="160183312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斗门区市政工程公司的经理陈某某（另案处理）多次与被告人赵某某等人召开会议，决定以“追款奖励”的名义向公司全体在岗职工发放奖金。后来，该决议经全体职工大会通过。此后，在未经上级主管部门斗门区宏源资产经营有限公司审批的情况下，被告人赵某某等人擅自七次向公司全体员工发放款项共计人民币</w:t>
      </w:r>
      <w:r>
        <w:rPr>
          <w:rFonts w:hint="eastAsia"/>
          <w:sz w:val="30"/>
          <w:szCs w:val="30"/>
        </w:rPr>
        <w:t>1370200</w:t>
      </w:r>
      <w:r>
        <w:rPr>
          <w:rFonts w:hint="eastAsia"/>
          <w:sz w:val="30"/>
          <w:szCs w:val="30"/>
        </w:rPr>
        <w:t>元，被告人赵某某分得人民币</w:t>
      </w:r>
      <w:r>
        <w:rPr>
          <w:rFonts w:hint="eastAsia"/>
          <w:sz w:val="30"/>
          <w:szCs w:val="30"/>
        </w:rPr>
        <w:t>110300</w:t>
      </w:r>
      <w:r>
        <w:rPr>
          <w:rFonts w:hint="eastAsia"/>
          <w:sz w:val="30"/>
          <w:szCs w:val="30"/>
        </w:rPr>
        <w:t>元。</w:t>
      </w:r>
    </w:p>
    <w:p w:rsidR="005D0A16" w:rsidRDefault="005D0A16">
      <w:pPr>
        <w:spacing w:line="500" w:lineRule="atLeast"/>
        <w:ind w:firstLine="600"/>
        <w:divId w:val="1473786314"/>
        <w:rPr>
          <w:rFonts w:hint="eastAsia"/>
          <w:sz w:val="30"/>
          <w:szCs w:val="30"/>
        </w:rPr>
      </w:pPr>
      <w:r>
        <w:rPr>
          <w:rFonts w:hint="eastAsia"/>
          <w:sz w:val="30"/>
          <w:szCs w:val="30"/>
        </w:rPr>
        <w:lastRenderedPageBreak/>
        <w:t>2012</w:t>
      </w:r>
      <w:r>
        <w:rPr>
          <w:rFonts w:hint="eastAsia"/>
          <w:sz w:val="30"/>
          <w:szCs w:val="30"/>
        </w:rPr>
        <w:t>年上半年，斗门区市政工程公司决定进行经济性裁员，全体员工与公司解除劳动合同并领取一次性补偿金后，陈某某与被告人赵某某等人召开公司班子成员会议和全体职工会议，以公司员工需要配合公司完成后续业务工作为由，决定向全体员工发放“后期配合费”。此后，在未经上级主管部门斗门区宏源资产经营有限公司审批的情况下，被告人赵某某等人擅自向公司全体员工发放款项共计人民币</w:t>
      </w:r>
      <w:r>
        <w:rPr>
          <w:rFonts w:hint="eastAsia"/>
          <w:sz w:val="30"/>
          <w:szCs w:val="30"/>
        </w:rPr>
        <w:t>211962</w:t>
      </w:r>
      <w:r>
        <w:rPr>
          <w:rFonts w:hint="eastAsia"/>
          <w:sz w:val="30"/>
          <w:szCs w:val="30"/>
        </w:rPr>
        <w:t>元，被告人赵某某分得人民币</w:t>
      </w:r>
      <w:r>
        <w:rPr>
          <w:rFonts w:hint="eastAsia"/>
          <w:sz w:val="30"/>
          <w:szCs w:val="30"/>
        </w:rPr>
        <w:t>16896</w:t>
      </w:r>
      <w:r>
        <w:rPr>
          <w:rFonts w:hint="eastAsia"/>
          <w:sz w:val="30"/>
          <w:szCs w:val="30"/>
        </w:rPr>
        <w:t>元。</w:t>
      </w:r>
    </w:p>
    <w:p w:rsidR="005D0A16" w:rsidRDefault="005D0A16">
      <w:pPr>
        <w:spacing w:line="500" w:lineRule="atLeast"/>
        <w:ind w:firstLine="600"/>
        <w:divId w:val="771701793"/>
        <w:rPr>
          <w:rFonts w:hint="eastAsia"/>
          <w:sz w:val="30"/>
          <w:szCs w:val="30"/>
        </w:rPr>
      </w:pPr>
      <w:r>
        <w:rPr>
          <w:rFonts w:hint="eastAsia"/>
          <w:sz w:val="30"/>
          <w:szCs w:val="30"/>
        </w:rPr>
        <w:t>综上，被告人赵某某私分国有资产共计人民币</w:t>
      </w:r>
      <w:r>
        <w:rPr>
          <w:rFonts w:hint="eastAsia"/>
          <w:sz w:val="30"/>
          <w:szCs w:val="30"/>
        </w:rPr>
        <w:t>1582162</w:t>
      </w:r>
      <w:r>
        <w:rPr>
          <w:rFonts w:hint="eastAsia"/>
          <w:sz w:val="30"/>
          <w:szCs w:val="30"/>
        </w:rPr>
        <w:t>元，其个人分得人民币</w:t>
      </w:r>
      <w:r>
        <w:rPr>
          <w:rFonts w:hint="eastAsia"/>
          <w:sz w:val="30"/>
          <w:szCs w:val="30"/>
        </w:rPr>
        <w:t>127196</w:t>
      </w:r>
      <w:r>
        <w:rPr>
          <w:rFonts w:hint="eastAsia"/>
          <w:sz w:val="30"/>
          <w:szCs w:val="30"/>
        </w:rPr>
        <w:t>元。</w:t>
      </w:r>
    </w:p>
    <w:p w:rsidR="005D0A16" w:rsidRDefault="005D0A16">
      <w:pPr>
        <w:spacing w:line="500" w:lineRule="atLeast"/>
        <w:ind w:firstLine="600"/>
        <w:divId w:val="127490031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日，被告人赵某某到斗门区人民检察院投案，并于同年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日退回全部赃款。</w:t>
      </w:r>
    </w:p>
    <w:p w:rsidR="005D0A16" w:rsidRDefault="005D0A16">
      <w:pPr>
        <w:spacing w:line="500" w:lineRule="atLeast"/>
        <w:ind w:firstLine="600"/>
        <w:divId w:val="76631480"/>
        <w:rPr>
          <w:rFonts w:hint="eastAsia"/>
          <w:sz w:val="30"/>
          <w:szCs w:val="30"/>
        </w:rPr>
      </w:pPr>
      <w:r>
        <w:rPr>
          <w:rFonts w:hint="eastAsia"/>
          <w:sz w:val="30"/>
          <w:szCs w:val="30"/>
        </w:rPr>
        <w:t>上述事实，被告人赵某某在开庭审理过程中亦无异议，并有自首证明，合同制职工劳动合同书，斗门县人民政府的斗府字（</w:t>
      </w:r>
      <w:r>
        <w:rPr>
          <w:rFonts w:hint="eastAsia"/>
          <w:sz w:val="30"/>
          <w:szCs w:val="30"/>
        </w:rPr>
        <w:t>1985</w:t>
      </w:r>
      <w:r>
        <w:rPr>
          <w:rFonts w:hint="eastAsia"/>
          <w:sz w:val="30"/>
          <w:szCs w:val="30"/>
        </w:rPr>
        <w:t>）</w:t>
      </w:r>
      <w:r>
        <w:rPr>
          <w:rFonts w:hint="eastAsia"/>
          <w:sz w:val="30"/>
          <w:szCs w:val="30"/>
        </w:rPr>
        <w:t>48</w:t>
      </w:r>
      <w:r>
        <w:rPr>
          <w:rFonts w:hint="eastAsia"/>
          <w:sz w:val="30"/>
          <w:szCs w:val="30"/>
        </w:rPr>
        <w:t>号文件，斗门县建设委员会的斗建党字（</w:t>
      </w:r>
      <w:r>
        <w:rPr>
          <w:rFonts w:hint="eastAsia"/>
          <w:sz w:val="30"/>
          <w:szCs w:val="30"/>
        </w:rPr>
        <w:t>1998</w:t>
      </w:r>
      <w:r>
        <w:rPr>
          <w:rFonts w:hint="eastAsia"/>
          <w:sz w:val="30"/>
          <w:szCs w:val="30"/>
        </w:rPr>
        <w:t>）</w:t>
      </w:r>
      <w:r>
        <w:rPr>
          <w:rFonts w:hint="eastAsia"/>
          <w:sz w:val="30"/>
          <w:szCs w:val="30"/>
        </w:rPr>
        <w:t>7</w:t>
      </w:r>
      <w:r>
        <w:rPr>
          <w:rFonts w:hint="eastAsia"/>
          <w:sz w:val="30"/>
          <w:szCs w:val="30"/>
        </w:rPr>
        <w:t>号文件，斗门县国有资产管理委员会的斗国资（</w:t>
      </w:r>
      <w:r>
        <w:rPr>
          <w:rFonts w:hint="eastAsia"/>
          <w:sz w:val="30"/>
          <w:szCs w:val="30"/>
        </w:rPr>
        <w:t>2000</w:t>
      </w:r>
      <w:r>
        <w:rPr>
          <w:rFonts w:hint="eastAsia"/>
          <w:sz w:val="30"/>
          <w:szCs w:val="30"/>
        </w:rPr>
        <w:t>）</w:t>
      </w:r>
      <w:r>
        <w:rPr>
          <w:rFonts w:hint="eastAsia"/>
          <w:sz w:val="30"/>
          <w:szCs w:val="30"/>
        </w:rPr>
        <w:t>03</w:t>
      </w:r>
      <w:r>
        <w:rPr>
          <w:rFonts w:hint="eastAsia"/>
          <w:sz w:val="30"/>
          <w:szCs w:val="30"/>
        </w:rPr>
        <w:t>号文件，资金注册证明书，验资证明书，商事登记资料，工商企业变更申请登记表，核准变更登记通知书，企业国有资产变动产权登记表，企业法人营业执照，付款凭证，款项发放明细表，会议记录，协议书，证人陈某某、邱某某、周某某、梁某某、黄某某，林某某、周某甲、张某某、何某某、邝某某、李某某的证言等证据证实，足以认定。</w:t>
      </w:r>
    </w:p>
    <w:p w:rsidR="005D0A16" w:rsidRDefault="005D0A16">
      <w:pPr>
        <w:spacing w:line="500" w:lineRule="atLeast"/>
        <w:ind w:firstLine="600"/>
        <w:divId w:val="584148679"/>
        <w:rPr>
          <w:rFonts w:hint="eastAsia"/>
          <w:sz w:val="30"/>
          <w:szCs w:val="30"/>
        </w:rPr>
      </w:pPr>
      <w:r>
        <w:rPr>
          <w:rFonts w:hint="eastAsia"/>
          <w:sz w:val="30"/>
          <w:szCs w:val="30"/>
        </w:rPr>
        <w:t>本院认为，被告人赵某某身为斗门区市政工程公司的副经理，违反国家规定，以单位名义将国有资产集体私分给个人，数额巨大，其行为已构成私分国有资产罪，公诉机关指控的犯罪事实清楚，证据确实充分，指控的罪名成立，应予支持。在共同犯罪中，被告人赵某某起主要作用，是主犯，应当按照其所参与的犯罪予以处罚。被告人赵某某在犯罪后自动到司法机关投案，并如实供述了上述犯罪事实，是自首，依法对其减轻处罚，其在归案后退回全部赃款，酌情从轻处罚。根据被告人赵某某的犯罪情节，结合其悔罪表现，决定对其宣告缓刑。依照《中华人民共和国刑法》第三百九十六条第一款，第二十五条第一款，第二十六条第一款、第四款，第六十四条，第六十七条第一款，第七十二条，第七十三条第二款、第三款的规定，判决如下：</w:t>
      </w:r>
    </w:p>
    <w:p w:rsidR="005D0A16" w:rsidRDefault="005D0A16">
      <w:pPr>
        <w:spacing w:line="500" w:lineRule="atLeast"/>
        <w:ind w:firstLine="600"/>
        <w:divId w:val="402069107"/>
        <w:rPr>
          <w:rFonts w:hint="eastAsia"/>
          <w:sz w:val="30"/>
          <w:szCs w:val="30"/>
        </w:rPr>
      </w:pPr>
      <w:r>
        <w:rPr>
          <w:rFonts w:hint="eastAsia"/>
          <w:sz w:val="30"/>
          <w:szCs w:val="30"/>
        </w:rPr>
        <w:t>一、被告人赵某某犯私分国有资产罪，判处有期徒刑二年六个月，缓刑三年，并处罚金人民币三万元（缓刑考验期限从判决确定之日起计算）。</w:t>
      </w:r>
    </w:p>
    <w:p w:rsidR="005D0A16" w:rsidRDefault="005D0A16">
      <w:pPr>
        <w:spacing w:line="500" w:lineRule="atLeast"/>
        <w:ind w:firstLine="600"/>
        <w:divId w:val="992222396"/>
        <w:rPr>
          <w:rFonts w:hint="eastAsia"/>
          <w:sz w:val="30"/>
          <w:szCs w:val="30"/>
        </w:rPr>
      </w:pPr>
      <w:r>
        <w:rPr>
          <w:rFonts w:hint="eastAsia"/>
          <w:sz w:val="30"/>
          <w:szCs w:val="30"/>
        </w:rPr>
        <w:t>二、扣押在案的赃款人民币</w:t>
      </w:r>
      <w:r>
        <w:rPr>
          <w:rFonts w:hint="eastAsia"/>
          <w:sz w:val="30"/>
          <w:szCs w:val="30"/>
        </w:rPr>
        <w:t>127196</w:t>
      </w:r>
      <w:r>
        <w:rPr>
          <w:rFonts w:hint="eastAsia"/>
          <w:sz w:val="30"/>
          <w:szCs w:val="30"/>
        </w:rPr>
        <w:t>元发还珠海市斗门区市政工程公司。</w:t>
      </w:r>
    </w:p>
    <w:p w:rsidR="005D0A16" w:rsidRDefault="005D0A16">
      <w:pPr>
        <w:spacing w:line="500" w:lineRule="atLeast"/>
        <w:ind w:firstLine="600"/>
        <w:divId w:val="1826582148"/>
        <w:rPr>
          <w:rFonts w:hint="eastAsia"/>
          <w:sz w:val="30"/>
          <w:szCs w:val="30"/>
        </w:rPr>
      </w:pPr>
      <w:r>
        <w:rPr>
          <w:rFonts w:hint="eastAsia"/>
          <w:sz w:val="30"/>
          <w:szCs w:val="30"/>
        </w:rPr>
        <w:t>如不服本判决，可在接到判决书的第二日起十日内，通过本院或者直接向珠海市中级人民法院提出上诉。书面上诉的，应当提交上诉状正本一份，副本二份。</w:t>
      </w:r>
    </w:p>
    <w:p w:rsidR="005D0A16" w:rsidRDefault="005D0A16">
      <w:pPr>
        <w:spacing w:line="500" w:lineRule="atLeast"/>
        <w:jc w:val="right"/>
        <w:divId w:val="1614246172"/>
        <w:rPr>
          <w:rFonts w:hint="eastAsia"/>
          <w:sz w:val="30"/>
          <w:szCs w:val="30"/>
        </w:rPr>
      </w:pPr>
      <w:r>
        <w:rPr>
          <w:rFonts w:hint="eastAsia"/>
          <w:sz w:val="30"/>
          <w:szCs w:val="30"/>
        </w:rPr>
        <w:t>审　判　长　　罗锡胜</w:t>
      </w:r>
    </w:p>
    <w:p w:rsidR="005D0A16" w:rsidRDefault="005D0A16">
      <w:pPr>
        <w:spacing w:line="500" w:lineRule="atLeast"/>
        <w:jc w:val="right"/>
        <w:divId w:val="1772821204"/>
        <w:rPr>
          <w:rFonts w:hint="eastAsia"/>
          <w:sz w:val="30"/>
          <w:szCs w:val="30"/>
        </w:rPr>
      </w:pPr>
      <w:r>
        <w:rPr>
          <w:rFonts w:hint="eastAsia"/>
          <w:sz w:val="30"/>
          <w:szCs w:val="30"/>
        </w:rPr>
        <w:t>审　判　员　　邝占雄</w:t>
      </w:r>
    </w:p>
    <w:p w:rsidR="005D0A16" w:rsidRDefault="005D0A16">
      <w:pPr>
        <w:spacing w:line="500" w:lineRule="atLeast"/>
        <w:jc w:val="right"/>
        <w:divId w:val="1385762261"/>
        <w:rPr>
          <w:rFonts w:hint="eastAsia"/>
          <w:sz w:val="30"/>
          <w:szCs w:val="30"/>
        </w:rPr>
      </w:pPr>
      <w:r>
        <w:rPr>
          <w:rFonts w:hint="eastAsia"/>
          <w:sz w:val="30"/>
          <w:szCs w:val="30"/>
        </w:rPr>
        <w:t>代理审判员　　高艳丽</w:t>
      </w:r>
    </w:p>
    <w:p w:rsidR="005D0A16" w:rsidRDefault="005D0A16">
      <w:pPr>
        <w:spacing w:line="500" w:lineRule="atLeast"/>
        <w:jc w:val="right"/>
        <w:divId w:val="638876979"/>
        <w:rPr>
          <w:rFonts w:hint="eastAsia"/>
          <w:sz w:val="30"/>
          <w:szCs w:val="30"/>
        </w:rPr>
      </w:pPr>
      <w:r>
        <w:rPr>
          <w:rFonts w:hint="eastAsia"/>
          <w:sz w:val="30"/>
          <w:szCs w:val="30"/>
        </w:rPr>
        <w:t>二〇一四年九月十日</w:t>
      </w:r>
    </w:p>
    <w:p w:rsidR="005D0A16" w:rsidRDefault="005D0A16">
      <w:pPr>
        <w:spacing w:line="500" w:lineRule="atLeast"/>
        <w:jc w:val="right"/>
        <w:divId w:val="846751458"/>
        <w:rPr>
          <w:rFonts w:hint="eastAsia"/>
          <w:sz w:val="30"/>
          <w:szCs w:val="30"/>
        </w:rPr>
      </w:pPr>
      <w:r>
        <w:rPr>
          <w:rFonts w:hint="eastAsia"/>
          <w:sz w:val="30"/>
          <w:szCs w:val="30"/>
        </w:rPr>
        <w:t>书　记　员　　申诗炜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A16" w:rsidRDefault="005D0A16" w:rsidP="005D0A16">
      <w:pPr>
        <w:rPr>
          <w:rFonts w:hint="eastAsia"/>
        </w:rPr>
      </w:pPr>
      <w:r>
        <w:separator/>
      </w:r>
    </w:p>
  </w:endnote>
  <w:endnote w:type="continuationSeparator" w:id="0">
    <w:p w:rsidR="005D0A16" w:rsidRDefault="005D0A16" w:rsidP="005D0A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A16" w:rsidRDefault="005D0A16" w:rsidP="005D0A16">
      <w:pPr>
        <w:rPr>
          <w:rFonts w:hint="eastAsia"/>
        </w:rPr>
      </w:pPr>
      <w:r>
        <w:separator/>
      </w:r>
    </w:p>
  </w:footnote>
  <w:footnote w:type="continuationSeparator" w:id="0">
    <w:p w:rsidR="005D0A16" w:rsidRDefault="005D0A16" w:rsidP="005D0A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0A16"/>
    <w:rsid w:val="005D0A1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0A16"/>
    <w:pPr>
      <w:tabs>
        <w:tab w:val="center" w:pos="4153"/>
        <w:tab w:val="right" w:pos="8306"/>
      </w:tabs>
      <w:snapToGrid w:val="0"/>
      <w:jc w:val="center"/>
    </w:pPr>
    <w:rPr>
      <w:sz w:val="18"/>
      <w:szCs w:val="18"/>
    </w:rPr>
  </w:style>
  <w:style w:type="character" w:customStyle="1" w:styleId="a4">
    <w:name w:val="页眉 字符"/>
    <w:basedOn w:val="a0"/>
    <w:link w:val="a3"/>
    <w:uiPriority w:val="99"/>
    <w:rsid w:val="005D0A16"/>
    <w:rPr>
      <w:rFonts w:ascii="宋体" w:eastAsia="宋体" w:hAnsi="宋体" w:cs="宋体"/>
      <w:sz w:val="18"/>
      <w:szCs w:val="18"/>
    </w:rPr>
  </w:style>
  <w:style w:type="paragraph" w:styleId="a5">
    <w:name w:val="footer"/>
    <w:basedOn w:val="a"/>
    <w:link w:val="a6"/>
    <w:uiPriority w:val="99"/>
    <w:unhideWhenUsed/>
    <w:rsid w:val="005D0A16"/>
    <w:pPr>
      <w:tabs>
        <w:tab w:val="center" w:pos="4153"/>
        <w:tab w:val="right" w:pos="8306"/>
      </w:tabs>
      <w:snapToGrid w:val="0"/>
    </w:pPr>
    <w:rPr>
      <w:sz w:val="18"/>
      <w:szCs w:val="18"/>
    </w:rPr>
  </w:style>
  <w:style w:type="character" w:customStyle="1" w:styleId="a6">
    <w:name w:val="页脚 字符"/>
    <w:basedOn w:val="a0"/>
    <w:link w:val="a5"/>
    <w:uiPriority w:val="99"/>
    <w:rsid w:val="005D0A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1480">
      <w:marLeft w:val="0"/>
      <w:marRight w:val="0"/>
      <w:marTop w:val="10"/>
      <w:marBottom w:val="10"/>
      <w:divBdr>
        <w:top w:val="none" w:sz="0" w:space="0" w:color="auto"/>
        <w:left w:val="none" w:sz="0" w:space="0" w:color="auto"/>
        <w:bottom w:val="none" w:sz="0" w:space="0" w:color="auto"/>
        <w:right w:val="none" w:sz="0" w:space="0" w:color="auto"/>
      </w:divBdr>
    </w:div>
    <w:div w:id="160244027">
      <w:marLeft w:val="0"/>
      <w:marRight w:val="0"/>
      <w:marTop w:val="10"/>
      <w:marBottom w:val="10"/>
      <w:divBdr>
        <w:top w:val="none" w:sz="0" w:space="0" w:color="auto"/>
        <w:left w:val="none" w:sz="0" w:space="0" w:color="auto"/>
        <w:bottom w:val="none" w:sz="0" w:space="0" w:color="auto"/>
        <w:right w:val="none" w:sz="0" w:space="0" w:color="auto"/>
      </w:divBdr>
    </w:div>
    <w:div w:id="402069107">
      <w:marLeft w:val="0"/>
      <w:marRight w:val="0"/>
      <w:marTop w:val="10"/>
      <w:marBottom w:val="10"/>
      <w:divBdr>
        <w:top w:val="none" w:sz="0" w:space="0" w:color="auto"/>
        <w:left w:val="none" w:sz="0" w:space="0" w:color="auto"/>
        <w:bottom w:val="none" w:sz="0" w:space="0" w:color="auto"/>
        <w:right w:val="none" w:sz="0" w:space="0" w:color="auto"/>
      </w:divBdr>
    </w:div>
    <w:div w:id="452555077">
      <w:marLeft w:val="0"/>
      <w:marRight w:val="0"/>
      <w:marTop w:val="10"/>
      <w:marBottom w:val="10"/>
      <w:divBdr>
        <w:top w:val="none" w:sz="0" w:space="0" w:color="auto"/>
        <w:left w:val="none" w:sz="0" w:space="0" w:color="auto"/>
        <w:bottom w:val="none" w:sz="0" w:space="0" w:color="auto"/>
        <w:right w:val="none" w:sz="0" w:space="0" w:color="auto"/>
      </w:divBdr>
    </w:div>
    <w:div w:id="584148679">
      <w:marLeft w:val="0"/>
      <w:marRight w:val="0"/>
      <w:marTop w:val="10"/>
      <w:marBottom w:val="10"/>
      <w:divBdr>
        <w:top w:val="none" w:sz="0" w:space="0" w:color="auto"/>
        <w:left w:val="none" w:sz="0" w:space="0" w:color="auto"/>
        <w:bottom w:val="none" w:sz="0" w:space="0" w:color="auto"/>
        <w:right w:val="none" w:sz="0" w:space="0" w:color="auto"/>
      </w:divBdr>
    </w:div>
    <w:div w:id="607665752">
      <w:marLeft w:val="0"/>
      <w:marRight w:val="0"/>
      <w:marTop w:val="10"/>
      <w:marBottom w:val="10"/>
      <w:divBdr>
        <w:top w:val="none" w:sz="0" w:space="0" w:color="auto"/>
        <w:left w:val="none" w:sz="0" w:space="0" w:color="auto"/>
        <w:bottom w:val="none" w:sz="0" w:space="0" w:color="auto"/>
        <w:right w:val="none" w:sz="0" w:space="0" w:color="auto"/>
      </w:divBdr>
    </w:div>
    <w:div w:id="638876979">
      <w:marLeft w:val="0"/>
      <w:marRight w:val="720"/>
      <w:marTop w:val="10"/>
      <w:marBottom w:val="10"/>
      <w:divBdr>
        <w:top w:val="none" w:sz="0" w:space="0" w:color="auto"/>
        <w:left w:val="none" w:sz="0" w:space="0" w:color="auto"/>
        <w:bottom w:val="none" w:sz="0" w:space="0" w:color="auto"/>
        <w:right w:val="none" w:sz="0" w:space="0" w:color="auto"/>
      </w:divBdr>
    </w:div>
    <w:div w:id="771701793">
      <w:marLeft w:val="0"/>
      <w:marRight w:val="0"/>
      <w:marTop w:val="10"/>
      <w:marBottom w:val="10"/>
      <w:divBdr>
        <w:top w:val="none" w:sz="0" w:space="0" w:color="auto"/>
        <w:left w:val="none" w:sz="0" w:space="0" w:color="auto"/>
        <w:bottom w:val="none" w:sz="0" w:space="0" w:color="auto"/>
        <w:right w:val="none" w:sz="0" w:space="0" w:color="auto"/>
      </w:divBdr>
    </w:div>
    <w:div w:id="846751458">
      <w:marLeft w:val="0"/>
      <w:marRight w:val="720"/>
      <w:marTop w:val="10"/>
      <w:marBottom w:val="10"/>
      <w:divBdr>
        <w:top w:val="none" w:sz="0" w:space="0" w:color="auto"/>
        <w:left w:val="none" w:sz="0" w:space="0" w:color="auto"/>
        <w:bottom w:val="none" w:sz="0" w:space="0" w:color="auto"/>
        <w:right w:val="none" w:sz="0" w:space="0" w:color="auto"/>
      </w:divBdr>
    </w:div>
    <w:div w:id="992222396">
      <w:marLeft w:val="0"/>
      <w:marRight w:val="0"/>
      <w:marTop w:val="10"/>
      <w:marBottom w:val="10"/>
      <w:divBdr>
        <w:top w:val="none" w:sz="0" w:space="0" w:color="auto"/>
        <w:left w:val="none" w:sz="0" w:space="0" w:color="auto"/>
        <w:bottom w:val="none" w:sz="0" w:space="0" w:color="auto"/>
        <w:right w:val="none" w:sz="0" w:space="0" w:color="auto"/>
      </w:divBdr>
    </w:div>
    <w:div w:id="1022784124">
      <w:marLeft w:val="0"/>
      <w:marRight w:val="0"/>
      <w:marTop w:val="10"/>
      <w:marBottom w:val="10"/>
      <w:divBdr>
        <w:top w:val="none" w:sz="0" w:space="0" w:color="auto"/>
        <w:left w:val="none" w:sz="0" w:space="0" w:color="auto"/>
        <w:bottom w:val="none" w:sz="0" w:space="0" w:color="auto"/>
        <w:right w:val="none" w:sz="0" w:space="0" w:color="auto"/>
      </w:divBdr>
    </w:div>
    <w:div w:id="1274900311">
      <w:marLeft w:val="0"/>
      <w:marRight w:val="0"/>
      <w:marTop w:val="10"/>
      <w:marBottom w:val="10"/>
      <w:divBdr>
        <w:top w:val="none" w:sz="0" w:space="0" w:color="auto"/>
        <w:left w:val="none" w:sz="0" w:space="0" w:color="auto"/>
        <w:bottom w:val="none" w:sz="0" w:space="0" w:color="auto"/>
        <w:right w:val="none" w:sz="0" w:space="0" w:color="auto"/>
      </w:divBdr>
    </w:div>
    <w:div w:id="1385762261">
      <w:marLeft w:val="0"/>
      <w:marRight w:val="720"/>
      <w:marTop w:val="10"/>
      <w:marBottom w:val="10"/>
      <w:divBdr>
        <w:top w:val="none" w:sz="0" w:space="0" w:color="auto"/>
        <w:left w:val="none" w:sz="0" w:space="0" w:color="auto"/>
        <w:bottom w:val="none" w:sz="0" w:space="0" w:color="auto"/>
        <w:right w:val="none" w:sz="0" w:space="0" w:color="auto"/>
      </w:divBdr>
    </w:div>
    <w:div w:id="1473786314">
      <w:marLeft w:val="0"/>
      <w:marRight w:val="0"/>
      <w:marTop w:val="10"/>
      <w:marBottom w:val="10"/>
      <w:divBdr>
        <w:top w:val="none" w:sz="0" w:space="0" w:color="auto"/>
        <w:left w:val="none" w:sz="0" w:space="0" w:color="auto"/>
        <w:bottom w:val="none" w:sz="0" w:space="0" w:color="auto"/>
        <w:right w:val="none" w:sz="0" w:space="0" w:color="auto"/>
      </w:divBdr>
    </w:div>
    <w:div w:id="1517302144">
      <w:marLeft w:val="0"/>
      <w:marRight w:val="0"/>
      <w:marTop w:val="10"/>
      <w:marBottom w:val="10"/>
      <w:divBdr>
        <w:top w:val="none" w:sz="0" w:space="0" w:color="auto"/>
        <w:left w:val="none" w:sz="0" w:space="0" w:color="auto"/>
        <w:bottom w:val="none" w:sz="0" w:space="0" w:color="auto"/>
        <w:right w:val="none" w:sz="0" w:space="0" w:color="auto"/>
      </w:divBdr>
    </w:div>
    <w:div w:id="1601833129">
      <w:marLeft w:val="0"/>
      <w:marRight w:val="0"/>
      <w:marTop w:val="10"/>
      <w:marBottom w:val="10"/>
      <w:divBdr>
        <w:top w:val="none" w:sz="0" w:space="0" w:color="auto"/>
        <w:left w:val="none" w:sz="0" w:space="0" w:color="auto"/>
        <w:bottom w:val="none" w:sz="0" w:space="0" w:color="auto"/>
        <w:right w:val="none" w:sz="0" w:space="0" w:color="auto"/>
      </w:divBdr>
    </w:div>
    <w:div w:id="1614246172">
      <w:marLeft w:val="0"/>
      <w:marRight w:val="720"/>
      <w:marTop w:val="10"/>
      <w:marBottom w:val="10"/>
      <w:divBdr>
        <w:top w:val="none" w:sz="0" w:space="0" w:color="auto"/>
        <w:left w:val="none" w:sz="0" w:space="0" w:color="auto"/>
        <w:bottom w:val="none" w:sz="0" w:space="0" w:color="auto"/>
        <w:right w:val="none" w:sz="0" w:space="0" w:color="auto"/>
      </w:divBdr>
    </w:div>
    <w:div w:id="1772821204">
      <w:marLeft w:val="0"/>
      <w:marRight w:val="720"/>
      <w:marTop w:val="10"/>
      <w:marBottom w:val="10"/>
      <w:divBdr>
        <w:top w:val="none" w:sz="0" w:space="0" w:color="auto"/>
        <w:left w:val="none" w:sz="0" w:space="0" w:color="auto"/>
        <w:bottom w:val="none" w:sz="0" w:space="0" w:color="auto"/>
        <w:right w:val="none" w:sz="0" w:space="0" w:color="auto"/>
      </w:divBdr>
    </w:div>
    <w:div w:id="1826582148">
      <w:marLeft w:val="0"/>
      <w:marRight w:val="0"/>
      <w:marTop w:val="10"/>
      <w:marBottom w:val="10"/>
      <w:divBdr>
        <w:top w:val="none" w:sz="0" w:space="0" w:color="auto"/>
        <w:left w:val="none" w:sz="0" w:space="0" w:color="auto"/>
        <w:bottom w:val="none" w:sz="0" w:space="0" w:color="auto"/>
        <w:right w:val="none" w:sz="0" w:space="0" w:color="auto"/>
      </w:divBdr>
    </w:div>
    <w:div w:id="1851525672">
      <w:marLeft w:val="0"/>
      <w:marRight w:val="0"/>
      <w:marTop w:val="10"/>
      <w:marBottom w:val="10"/>
      <w:divBdr>
        <w:top w:val="none" w:sz="0" w:space="0" w:color="auto"/>
        <w:left w:val="none" w:sz="0" w:space="0" w:color="auto"/>
        <w:bottom w:val="none" w:sz="0" w:space="0" w:color="auto"/>
        <w:right w:val="none" w:sz="0" w:space="0" w:color="auto"/>
      </w:divBdr>
    </w:div>
    <w:div w:id="1977946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