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02312" w14:textId="77777777" w:rsidR="00A96B76" w:rsidRDefault="00A96B76">
      <w:pPr>
        <w:spacing w:line="500" w:lineRule="atLeast"/>
        <w:jc w:val="center"/>
        <w:divId w:val="1587106001"/>
        <w:rPr>
          <w:rFonts w:ascii="黑体" w:eastAsia="黑体" w:hAnsi="黑体"/>
          <w:sz w:val="36"/>
          <w:szCs w:val="36"/>
        </w:rPr>
      </w:pPr>
      <w:r>
        <w:rPr>
          <w:rFonts w:ascii="黑体" w:eastAsia="黑体" w:hAnsi="黑体" w:hint="eastAsia"/>
          <w:sz w:val="36"/>
          <w:szCs w:val="36"/>
        </w:rPr>
        <w:t>广东省广州市番禺区人民法院</w:t>
      </w:r>
    </w:p>
    <w:p w14:paraId="58CE1C1D" w14:textId="77777777" w:rsidR="00A96B76" w:rsidRDefault="00A96B76">
      <w:pPr>
        <w:spacing w:line="500" w:lineRule="atLeast"/>
        <w:jc w:val="center"/>
        <w:divId w:val="21038690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1975AD" w14:textId="77777777" w:rsidR="00A96B76" w:rsidRDefault="00A96B76">
      <w:pPr>
        <w:spacing w:line="500" w:lineRule="atLeast"/>
        <w:jc w:val="right"/>
        <w:divId w:val="156614477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552</w:t>
      </w:r>
      <w:r>
        <w:rPr>
          <w:rFonts w:hint="eastAsia"/>
          <w:sz w:val="30"/>
          <w:szCs w:val="30"/>
        </w:rPr>
        <w:t>号</w:t>
      </w:r>
    </w:p>
    <w:p w14:paraId="49C45254" w14:textId="77777777" w:rsidR="00A96B76" w:rsidRDefault="00A96B76">
      <w:pPr>
        <w:spacing w:line="500" w:lineRule="atLeast"/>
        <w:ind w:firstLine="600"/>
        <w:divId w:val="1989480795"/>
        <w:rPr>
          <w:rFonts w:hint="eastAsia"/>
          <w:sz w:val="30"/>
          <w:szCs w:val="30"/>
        </w:rPr>
      </w:pPr>
      <w:r>
        <w:rPr>
          <w:rFonts w:hint="eastAsia"/>
          <w:sz w:val="30"/>
          <w:szCs w:val="30"/>
        </w:rPr>
        <w:t>公诉机关广州市番禺区人民检察院。</w:t>
      </w:r>
    </w:p>
    <w:p w14:paraId="0B972A53" w14:textId="77777777" w:rsidR="00A96B76" w:rsidRDefault="00A96B76">
      <w:pPr>
        <w:spacing w:line="500" w:lineRule="atLeast"/>
        <w:ind w:firstLine="600"/>
        <w:divId w:val="1421832495"/>
        <w:rPr>
          <w:rFonts w:hint="eastAsia"/>
          <w:sz w:val="30"/>
          <w:szCs w:val="30"/>
        </w:rPr>
      </w:pPr>
      <w:r>
        <w:rPr>
          <w:rFonts w:hint="eastAsia"/>
          <w:sz w:val="30"/>
          <w:szCs w:val="30"/>
        </w:rPr>
        <w:t>被告人邓慧生，女，</w:t>
      </w:r>
      <w:r>
        <w:rPr>
          <w:rFonts w:hint="eastAsia"/>
          <w:sz w:val="30"/>
          <w:szCs w:val="30"/>
        </w:rPr>
        <w:t>1954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日出生，汉族，文化程度中专，户籍地广州市番禺区，因本案于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日被取保候审。</w:t>
      </w:r>
    </w:p>
    <w:p w14:paraId="413F6268" w14:textId="77777777" w:rsidR="00A96B76" w:rsidRDefault="00A96B76">
      <w:pPr>
        <w:spacing w:line="500" w:lineRule="atLeast"/>
        <w:ind w:firstLine="600"/>
        <w:divId w:val="1277903809"/>
        <w:rPr>
          <w:rFonts w:hint="eastAsia"/>
          <w:sz w:val="30"/>
          <w:szCs w:val="30"/>
        </w:rPr>
      </w:pPr>
      <w:r>
        <w:rPr>
          <w:rFonts w:hint="eastAsia"/>
          <w:sz w:val="30"/>
          <w:szCs w:val="30"/>
        </w:rPr>
        <w:t>辩护人邓凯莹，广东广和（广州）律师事务所律师，由广州市番禺区法律援助处指派。</w:t>
      </w:r>
    </w:p>
    <w:p w14:paraId="37AF08B9" w14:textId="77777777" w:rsidR="00A96B76" w:rsidRDefault="00A96B76">
      <w:pPr>
        <w:spacing w:line="500" w:lineRule="atLeast"/>
        <w:ind w:firstLine="600"/>
        <w:divId w:val="1443838745"/>
        <w:rPr>
          <w:rFonts w:hint="eastAsia"/>
          <w:sz w:val="30"/>
          <w:szCs w:val="30"/>
        </w:rPr>
      </w:pPr>
      <w:r>
        <w:rPr>
          <w:rFonts w:hint="eastAsia"/>
          <w:sz w:val="30"/>
          <w:szCs w:val="30"/>
        </w:rPr>
        <w:t>广州市番禺区人民检察院以穗番检公刑诉</w:t>
      </w:r>
      <w:r>
        <w:rPr>
          <w:rFonts w:hint="eastAsia"/>
          <w:sz w:val="30"/>
          <w:szCs w:val="30"/>
        </w:rPr>
        <w:t>[2018]407</w:t>
      </w:r>
      <w:r>
        <w:rPr>
          <w:rFonts w:hint="eastAsia"/>
          <w:sz w:val="30"/>
          <w:szCs w:val="30"/>
        </w:rPr>
        <w:t>号起诉书指控被告人邓慧生犯对单位行贿罪，于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日向本院提起公诉。本院依法组成合议庭，公开开庭审理了本案。广州市番禺区人民检察院指派检察员罗少威出庭支持公诉。被告人邓慧生及辩护人邓凯莹到庭参加诉讼。现已审理终结。</w:t>
      </w:r>
    </w:p>
    <w:p w14:paraId="50EE6BFC" w14:textId="77777777" w:rsidR="00A96B76" w:rsidRDefault="00A96B76">
      <w:pPr>
        <w:spacing w:line="500" w:lineRule="atLeast"/>
        <w:ind w:firstLine="600"/>
        <w:divId w:val="1466041738"/>
        <w:rPr>
          <w:rFonts w:hint="eastAsia"/>
          <w:sz w:val="30"/>
          <w:szCs w:val="30"/>
        </w:rPr>
      </w:pPr>
      <w:r>
        <w:rPr>
          <w:rFonts w:hint="eastAsia"/>
          <w:sz w:val="30"/>
          <w:szCs w:val="30"/>
        </w:rPr>
        <w:t>广州市番禺区人民检察院指控，</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年期间，被告人邓慧生经营广州市番禺区桥南灵利模具厂，并虚构“番禺区沙头街顺灵刀模厂”，为了得到货款支付、业务承接方面的关照、少缴税款，在与广州光华鞋业有限公司</w:t>
      </w:r>
      <w:r>
        <w:rPr>
          <w:rFonts w:hint="eastAsia"/>
          <w:sz w:val="30"/>
          <w:szCs w:val="30"/>
        </w:rPr>
        <w:t>(</w:t>
      </w:r>
      <w:r>
        <w:rPr>
          <w:rFonts w:hint="eastAsia"/>
          <w:sz w:val="30"/>
          <w:szCs w:val="30"/>
        </w:rPr>
        <w:t>实质为国有公司</w:t>
      </w:r>
      <w:r>
        <w:rPr>
          <w:rFonts w:hint="eastAsia"/>
          <w:sz w:val="30"/>
          <w:szCs w:val="30"/>
        </w:rPr>
        <w:t>)</w:t>
      </w:r>
      <w:r>
        <w:rPr>
          <w:rFonts w:hint="eastAsia"/>
          <w:sz w:val="30"/>
          <w:szCs w:val="30"/>
        </w:rPr>
        <w:t>经济往来中，违反国家规定，给予其回扣和财物共计人民币</w:t>
      </w:r>
      <w:r>
        <w:rPr>
          <w:rFonts w:hint="eastAsia"/>
          <w:sz w:val="30"/>
          <w:szCs w:val="30"/>
        </w:rPr>
        <w:t>1145631.82</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日，被告人邓慧生经本院传唤到案。公诉机关并就其指控的事实向本院提供了</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被告人的供述和辩解；</w:t>
      </w:r>
      <w:r>
        <w:rPr>
          <w:rFonts w:hint="eastAsia"/>
          <w:sz w:val="30"/>
          <w:szCs w:val="30"/>
        </w:rPr>
        <w:t>4.</w:t>
      </w:r>
      <w:r>
        <w:rPr>
          <w:rFonts w:hint="eastAsia"/>
          <w:sz w:val="30"/>
          <w:szCs w:val="30"/>
        </w:rPr>
        <w:t>鉴定意见等等证据。公诉机关认为，被告人邓慧生无视国家法律，在经济往来中，违反国家规定，给予国有公司回扣；为谋取不正当利益，给予国有公司以财物，其行为触犯了《中华人民共和国刑法》第三百九十一条第一款，犯罪事实清楚，证据确实、充分，应当以对单</w:t>
      </w:r>
      <w:r>
        <w:rPr>
          <w:rFonts w:hint="eastAsia"/>
          <w:sz w:val="30"/>
          <w:szCs w:val="30"/>
        </w:rPr>
        <w:lastRenderedPageBreak/>
        <w:t>位行贿罪追究其刑事责任。被告人邓慧生犯罪以后自动投案，如实供述自己的罪行，根据《中华人民共和国刑法》第六十七条第一款的规定，是自首，可以从轻处罚。提请本院依法判处。</w:t>
      </w:r>
    </w:p>
    <w:p w14:paraId="65B18706" w14:textId="77777777" w:rsidR="00A96B76" w:rsidRDefault="00A96B76">
      <w:pPr>
        <w:spacing w:line="500" w:lineRule="atLeast"/>
        <w:ind w:firstLine="600"/>
        <w:divId w:val="3539272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年期间，被告人邓慧生经营广州市番禺区桥南灵利模具厂，并虚构“番禺区沙头街顺灵刀模厂”，为了得到货款支付、业务承接方面的关照、少缴税款，在与广州光华鞋业有限公司</w:t>
      </w:r>
      <w:r>
        <w:rPr>
          <w:rFonts w:hint="eastAsia"/>
          <w:sz w:val="30"/>
          <w:szCs w:val="30"/>
        </w:rPr>
        <w:t>(</w:t>
      </w:r>
      <w:r>
        <w:rPr>
          <w:rFonts w:hint="eastAsia"/>
          <w:sz w:val="30"/>
          <w:szCs w:val="30"/>
        </w:rPr>
        <w:t>实质为国有公司</w:t>
      </w:r>
      <w:r>
        <w:rPr>
          <w:rFonts w:hint="eastAsia"/>
          <w:sz w:val="30"/>
          <w:szCs w:val="30"/>
        </w:rPr>
        <w:t>)</w:t>
      </w:r>
      <w:r>
        <w:rPr>
          <w:rFonts w:hint="eastAsia"/>
          <w:sz w:val="30"/>
          <w:szCs w:val="30"/>
        </w:rPr>
        <w:t>经济往来中，违反国家规定，给予其回扣和财物共计人民币</w:t>
      </w:r>
      <w:r>
        <w:rPr>
          <w:rFonts w:hint="eastAsia"/>
          <w:sz w:val="30"/>
          <w:szCs w:val="30"/>
        </w:rPr>
        <w:t>1145631.82</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日，被告人邓慧生经本院传唤到案。</w:t>
      </w:r>
    </w:p>
    <w:p w14:paraId="6695E145" w14:textId="77777777" w:rsidR="00A96B76" w:rsidRDefault="00A96B76">
      <w:pPr>
        <w:spacing w:line="500" w:lineRule="atLeast"/>
        <w:ind w:firstLine="600"/>
        <w:divId w:val="1680041872"/>
        <w:rPr>
          <w:rFonts w:hint="eastAsia"/>
          <w:sz w:val="30"/>
          <w:szCs w:val="30"/>
        </w:rPr>
      </w:pPr>
      <w:r>
        <w:rPr>
          <w:rFonts w:hint="eastAsia"/>
          <w:sz w:val="30"/>
          <w:szCs w:val="30"/>
        </w:rPr>
        <w:t>上述事实，被告人邓慧生在庭审中亦无异议，并有证人邓某</w:t>
      </w:r>
      <w:r>
        <w:rPr>
          <w:rFonts w:hint="eastAsia"/>
          <w:sz w:val="30"/>
          <w:szCs w:val="30"/>
        </w:rPr>
        <w:t>1</w:t>
      </w:r>
      <w:r>
        <w:rPr>
          <w:rFonts w:hint="eastAsia"/>
          <w:sz w:val="30"/>
          <w:szCs w:val="30"/>
        </w:rPr>
        <w:t>、冯某</w:t>
      </w:r>
      <w:r>
        <w:rPr>
          <w:rFonts w:hint="eastAsia"/>
          <w:sz w:val="30"/>
          <w:szCs w:val="30"/>
        </w:rPr>
        <w:t>1</w:t>
      </w:r>
      <w:r>
        <w:rPr>
          <w:rFonts w:hint="eastAsia"/>
          <w:sz w:val="30"/>
          <w:szCs w:val="30"/>
        </w:rPr>
        <w:t>、黄某、黄某国、陈某</w:t>
      </w:r>
      <w:r>
        <w:rPr>
          <w:rFonts w:hint="eastAsia"/>
          <w:sz w:val="30"/>
          <w:szCs w:val="30"/>
        </w:rPr>
        <w:t>1</w:t>
      </w:r>
      <w:r>
        <w:rPr>
          <w:rFonts w:hint="eastAsia"/>
          <w:sz w:val="30"/>
          <w:szCs w:val="30"/>
        </w:rPr>
        <w:t>、区某冰的证言，被告人邓慧生的供述，辨认笔录，广州光华鞋业有限公司营业执照、工商登记资料等，广州市番禺区桥南灵利模具厂工商登记信息，广东业勤司法会计鉴定所出具的业司鉴所〔</w:t>
      </w:r>
      <w:r>
        <w:rPr>
          <w:rFonts w:hint="eastAsia"/>
          <w:sz w:val="30"/>
          <w:szCs w:val="30"/>
        </w:rPr>
        <w:t>2017</w:t>
      </w:r>
      <w:r>
        <w:rPr>
          <w:rFonts w:hint="eastAsia"/>
          <w:sz w:val="30"/>
          <w:szCs w:val="30"/>
        </w:rPr>
        <w:t>〕鉴字第</w:t>
      </w:r>
      <w:r>
        <w:rPr>
          <w:rFonts w:hint="eastAsia"/>
          <w:sz w:val="30"/>
          <w:szCs w:val="30"/>
        </w:rPr>
        <w:t>16</w:t>
      </w:r>
      <w:r>
        <w:rPr>
          <w:rFonts w:hint="eastAsia"/>
          <w:sz w:val="30"/>
          <w:szCs w:val="30"/>
        </w:rPr>
        <w:t>号鉴定意见书，破案经过等证据证实，足以认定。</w:t>
      </w:r>
    </w:p>
    <w:p w14:paraId="1EF00A15" w14:textId="77777777" w:rsidR="00A96B76" w:rsidRDefault="00A96B76">
      <w:pPr>
        <w:spacing w:line="500" w:lineRule="atLeast"/>
        <w:ind w:firstLine="600"/>
        <w:divId w:val="421336657"/>
        <w:rPr>
          <w:rFonts w:hint="eastAsia"/>
          <w:sz w:val="30"/>
          <w:szCs w:val="30"/>
        </w:rPr>
      </w:pPr>
      <w:r>
        <w:rPr>
          <w:rFonts w:hint="eastAsia"/>
          <w:sz w:val="30"/>
          <w:szCs w:val="30"/>
        </w:rPr>
        <w:t>本院认为，被告人邓慧生无视国家法律，在经济往来中，违反国家规定，给予国有公司回扣；为谋取不正当利益，给予国有公司以财物，其行为已构成对单位行贿罪，依法应当对其适用“三年以下有期徒刑或者拘役，并处罚金”的量刑幅度予以处罚。鉴于被告人邓慧生在犯罪以后主动投案，如实供述自己的罪行，是自首，可以从轻处罚。辩护人以上述理由建议法庭对其从轻处罚的意见有理，本院予以采纳。本院根据前述法定刑幅度、法定的量刑情节、酌定的量刑情节，并综合考虑被告人犯罪的具体事实、认罪态度等因素决定对被告人邓慧生从轻处罚并适用缓刑。根据《中华人民共和国刑法》第三百九十一条第一款、第六十七条第一款、第七十二条、第七十三条，《最高人民法院、最高人民检察院关于办理贪污贿赂刑事案件适用法律若干问题的解释》第十九条第二款的规定，判决如下：</w:t>
      </w:r>
    </w:p>
    <w:p w14:paraId="79BF7E53" w14:textId="77777777" w:rsidR="00A96B76" w:rsidRDefault="00A96B76">
      <w:pPr>
        <w:spacing w:line="500" w:lineRule="atLeast"/>
        <w:ind w:firstLine="600"/>
        <w:divId w:val="894663091"/>
        <w:rPr>
          <w:rFonts w:hint="eastAsia"/>
          <w:sz w:val="30"/>
          <w:szCs w:val="30"/>
        </w:rPr>
      </w:pPr>
      <w:r>
        <w:rPr>
          <w:rFonts w:hint="eastAsia"/>
          <w:sz w:val="30"/>
          <w:szCs w:val="30"/>
        </w:rPr>
        <w:t>被告人邓慧生犯对单位行贿罪，判处有期徒刑一年三个月，缓刑一年九个月，并处罚金十万元。</w:t>
      </w:r>
    </w:p>
    <w:p w14:paraId="425E26EB" w14:textId="77777777" w:rsidR="00A96B76" w:rsidRDefault="00A96B76">
      <w:pPr>
        <w:spacing w:line="500" w:lineRule="atLeast"/>
        <w:ind w:firstLine="600"/>
        <w:divId w:val="1735160733"/>
        <w:rPr>
          <w:rFonts w:hint="eastAsia"/>
          <w:sz w:val="30"/>
          <w:szCs w:val="30"/>
        </w:rPr>
      </w:pPr>
      <w:r>
        <w:rPr>
          <w:rFonts w:hint="eastAsia"/>
          <w:sz w:val="30"/>
          <w:szCs w:val="30"/>
        </w:rPr>
        <w:t>（缓刑考验期限自判决确定之日起计算；罚金于本判决发生法律效力次日起十日内缴纳，上缴国库。）</w:t>
      </w:r>
    </w:p>
    <w:p w14:paraId="3107ED73" w14:textId="77777777" w:rsidR="00A96B76" w:rsidRDefault="00A96B76">
      <w:pPr>
        <w:spacing w:line="500" w:lineRule="atLeast"/>
        <w:ind w:firstLine="600"/>
        <w:divId w:val="2086143885"/>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14:paraId="182D13B8" w14:textId="77777777" w:rsidR="00A96B76" w:rsidRDefault="00A96B76">
      <w:pPr>
        <w:spacing w:line="500" w:lineRule="atLeast"/>
        <w:jc w:val="right"/>
        <w:divId w:val="808400926"/>
        <w:rPr>
          <w:rFonts w:hint="eastAsia"/>
          <w:sz w:val="30"/>
          <w:szCs w:val="30"/>
        </w:rPr>
      </w:pPr>
      <w:r>
        <w:rPr>
          <w:rFonts w:hint="eastAsia"/>
          <w:sz w:val="30"/>
          <w:szCs w:val="30"/>
        </w:rPr>
        <w:t>审　判　长　　史靖宇</w:t>
      </w:r>
    </w:p>
    <w:p w14:paraId="145A4380" w14:textId="77777777" w:rsidR="00A96B76" w:rsidRDefault="00A96B76">
      <w:pPr>
        <w:spacing w:line="500" w:lineRule="atLeast"/>
        <w:jc w:val="right"/>
        <w:divId w:val="1874266522"/>
        <w:rPr>
          <w:rFonts w:hint="eastAsia"/>
          <w:sz w:val="30"/>
          <w:szCs w:val="30"/>
        </w:rPr>
      </w:pPr>
      <w:r>
        <w:rPr>
          <w:rFonts w:hint="eastAsia"/>
          <w:sz w:val="30"/>
          <w:szCs w:val="30"/>
        </w:rPr>
        <w:t>人民陪审员　　罗汝恒</w:t>
      </w:r>
    </w:p>
    <w:p w14:paraId="65DC4E2E" w14:textId="77777777" w:rsidR="00A96B76" w:rsidRDefault="00A96B76">
      <w:pPr>
        <w:spacing w:line="500" w:lineRule="atLeast"/>
        <w:jc w:val="right"/>
        <w:divId w:val="1955358896"/>
        <w:rPr>
          <w:rFonts w:hint="eastAsia"/>
          <w:sz w:val="30"/>
          <w:szCs w:val="30"/>
        </w:rPr>
      </w:pPr>
      <w:r>
        <w:rPr>
          <w:rFonts w:hint="eastAsia"/>
          <w:sz w:val="30"/>
          <w:szCs w:val="30"/>
        </w:rPr>
        <w:t>人民陪审员　　关沛仪</w:t>
      </w:r>
    </w:p>
    <w:p w14:paraId="4FB01BE4" w14:textId="77777777" w:rsidR="00A96B76" w:rsidRDefault="00A96B76">
      <w:pPr>
        <w:spacing w:line="500" w:lineRule="atLeast"/>
        <w:jc w:val="right"/>
        <w:divId w:val="1215851672"/>
        <w:rPr>
          <w:rFonts w:hint="eastAsia"/>
          <w:sz w:val="30"/>
          <w:szCs w:val="30"/>
        </w:rPr>
      </w:pPr>
      <w:r>
        <w:rPr>
          <w:rFonts w:hint="eastAsia"/>
          <w:sz w:val="30"/>
          <w:szCs w:val="30"/>
        </w:rPr>
        <w:t>二〇一八年七月二十四日</w:t>
      </w:r>
    </w:p>
    <w:p w14:paraId="322AEA39" w14:textId="77777777" w:rsidR="00A96B76" w:rsidRDefault="00A96B76">
      <w:pPr>
        <w:spacing w:line="500" w:lineRule="atLeast"/>
        <w:jc w:val="right"/>
        <w:divId w:val="812913911"/>
        <w:rPr>
          <w:rFonts w:hint="eastAsia"/>
          <w:sz w:val="30"/>
          <w:szCs w:val="30"/>
        </w:rPr>
      </w:pPr>
      <w:r>
        <w:rPr>
          <w:rFonts w:hint="eastAsia"/>
          <w:sz w:val="30"/>
          <w:szCs w:val="30"/>
        </w:rPr>
        <w:t>书　记　员　　李佳欣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99283" w14:textId="77777777" w:rsidR="00A96B76" w:rsidRDefault="00A96B76" w:rsidP="00A96B76">
      <w:pPr>
        <w:rPr>
          <w:rFonts w:hint="eastAsia"/>
        </w:rPr>
      </w:pPr>
      <w:r>
        <w:separator/>
      </w:r>
    </w:p>
  </w:endnote>
  <w:endnote w:type="continuationSeparator" w:id="0">
    <w:p w14:paraId="7C85C600" w14:textId="77777777" w:rsidR="00A96B76" w:rsidRDefault="00A96B76" w:rsidP="00A96B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97E3A" w14:textId="77777777" w:rsidR="00A96B76" w:rsidRDefault="00A96B76" w:rsidP="00A96B76">
      <w:pPr>
        <w:rPr>
          <w:rFonts w:hint="eastAsia"/>
        </w:rPr>
      </w:pPr>
      <w:r>
        <w:separator/>
      </w:r>
    </w:p>
  </w:footnote>
  <w:footnote w:type="continuationSeparator" w:id="0">
    <w:p w14:paraId="6E72245E" w14:textId="77777777" w:rsidR="00A96B76" w:rsidRDefault="00A96B76" w:rsidP="00A96B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6B76"/>
    <w:rsid w:val="007235DD"/>
    <w:rsid w:val="00A96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15E2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6B76"/>
    <w:pPr>
      <w:tabs>
        <w:tab w:val="center" w:pos="4153"/>
        <w:tab w:val="right" w:pos="8306"/>
      </w:tabs>
      <w:snapToGrid w:val="0"/>
      <w:jc w:val="center"/>
    </w:pPr>
    <w:rPr>
      <w:sz w:val="18"/>
      <w:szCs w:val="18"/>
    </w:rPr>
  </w:style>
  <w:style w:type="character" w:customStyle="1" w:styleId="a4">
    <w:name w:val="页眉 字符"/>
    <w:basedOn w:val="a0"/>
    <w:link w:val="a3"/>
    <w:uiPriority w:val="99"/>
    <w:rsid w:val="00A96B76"/>
    <w:rPr>
      <w:rFonts w:ascii="宋体" w:eastAsia="宋体" w:hAnsi="宋体" w:cs="宋体"/>
      <w:sz w:val="18"/>
      <w:szCs w:val="18"/>
    </w:rPr>
  </w:style>
  <w:style w:type="paragraph" w:styleId="a5">
    <w:name w:val="footer"/>
    <w:basedOn w:val="a"/>
    <w:link w:val="a6"/>
    <w:uiPriority w:val="99"/>
    <w:unhideWhenUsed/>
    <w:rsid w:val="00A96B76"/>
    <w:pPr>
      <w:tabs>
        <w:tab w:val="center" w:pos="4153"/>
        <w:tab w:val="right" w:pos="8306"/>
      </w:tabs>
      <w:snapToGrid w:val="0"/>
    </w:pPr>
    <w:rPr>
      <w:sz w:val="18"/>
      <w:szCs w:val="18"/>
    </w:rPr>
  </w:style>
  <w:style w:type="character" w:customStyle="1" w:styleId="a6">
    <w:name w:val="页脚 字符"/>
    <w:basedOn w:val="a0"/>
    <w:link w:val="a5"/>
    <w:uiPriority w:val="99"/>
    <w:rsid w:val="00A96B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2725">
      <w:marLeft w:val="0"/>
      <w:marRight w:val="0"/>
      <w:marTop w:val="10"/>
      <w:marBottom w:val="10"/>
      <w:divBdr>
        <w:top w:val="none" w:sz="0" w:space="0" w:color="auto"/>
        <w:left w:val="none" w:sz="0" w:space="0" w:color="auto"/>
        <w:bottom w:val="none" w:sz="0" w:space="0" w:color="auto"/>
        <w:right w:val="none" w:sz="0" w:space="0" w:color="auto"/>
      </w:divBdr>
    </w:div>
    <w:div w:id="421336657">
      <w:marLeft w:val="0"/>
      <w:marRight w:val="0"/>
      <w:marTop w:val="10"/>
      <w:marBottom w:val="10"/>
      <w:divBdr>
        <w:top w:val="none" w:sz="0" w:space="0" w:color="auto"/>
        <w:left w:val="none" w:sz="0" w:space="0" w:color="auto"/>
        <w:bottom w:val="none" w:sz="0" w:space="0" w:color="auto"/>
        <w:right w:val="none" w:sz="0" w:space="0" w:color="auto"/>
      </w:divBdr>
    </w:div>
    <w:div w:id="808400926">
      <w:marLeft w:val="0"/>
      <w:marRight w:val="720"/>
      <w:marTop w:val="10"/>
      <w:marBottom w:val="10"/>
      <w:divBdr>
        <w:top w:val="none" w:sz="0" w:space="0" w:color="auto"/>
        <w:left w:val="none" w:sz="0" w:space="0" w:color="auto"/>
        <w:bottom w:val="none" w:sz="0" w:space="0" w:color="auto"/>
        <w:right w:val="none" w:sz="0" w:space="0" w:color="auto"/>
      </w:divBdr>
    </w:div>
    <w:div w:id="812913911">
      <w:marLeft w:val="0"/>
      <w:marRight w:val="720"/>
      <w:marTop w:val="10"/>
      <w:marBottom w:val="10"/>
      <w:divBdr>
        <w:top w:val="none" w:sz="0" w:space="0" w:color="auto"/>
        <w:left w:val="none" w:sz="0" w:space="0" w:color="auto"/>
        <w:bottom w:val="none" w:sz="0" w:space="0" w:color="auto"/>
        <w:right w:val="none" w:sz="0" w:space="0" w:color="auto"/>
      </w:divBdr>
    </w:div>
    <w:div w:id="894663091">
      <w:marLeft w:val="0"/>
      <w:marRight w:val="0"/>
      <w:marTop w:val="10"/>
      <w:marBottom w:val="10"/>
      <w:divBdr>
        <w:top w:val="none" w:sz="0" w:space="0" w:color="auto"/>
        <w:left w:val="none" w:sz="0" w:space="0" w:color="auto"/>
        <w:bottom w:val="none" w:sz="0" w:space="0" w:color="auto"/>
        <w:right w:val="none" w:sz="0" w:space="0" w:color="auto"/>
      </w:divBdr>
    </w:div>
    <w:div w:id="1215851672">
      <w:marLeft w:val="0"/>
      <w:marRight w:val="720"/>
      <w:marTop w:val="10"/>
      <w:marBottom w:val="10"/>
      <w:divBdr>
        <w:top w:val="none" w:sz="0" w:space="0" w:color="auto"/>
        <w:left w:val="none" w:sz="0" w:space="0" w:color="auto"/>
        <w:bottom w:val="none" w:sz="0" w:space="0" w:color="auto"/>
        <w:right w:val="none" w:sz="0" w:space="0" w:color="auto"/>
      </w:divBdr>
    </w:div>
    <w:div w:id="1277903809">
      <w:marLeft w:val="0"/>
      <w:marRight w:val="0"/>
      <w:marTop w:val="10"/>
      <w:marBottom w:val="10"/>
      <w:divBdr>
        <w:top w:val="none" w:sz="0" w:space="0" w:color="auto"/>
        <w:left w:val="none" w:sz="0" w:space="0" w:color="auto"/>
        <w:bottom w:val="none" w:sz="0" w:space="0" w:color="auto"/>
        <w:right w:val="none" w:sz="0" w:space="0" w:color="auto"/>
      </w:divBdr>
    </w:div>
    <w:div w:id="1421832495">
      <w:marLeft w:val="0"/>
      <w:marRight w:val="0"/>
      <w:marTop w:val="10"/>
      <w:marBottom w:val="10"/>
      <w:divBdr>
        <w:top w:val="none" w:sz="0" w:space="0" w:color="auto"/>
        <w:left w:val="none" w:sz="0" w:space="0" w:color="auto"/>
        <w:bottom w:val="none" w:sz="0" w:space="0" w:color="auto"/>
        <w:right w:val="none" w:sz="0" w:space="0" w:color="auto"/>
      </w:divBdr>
    </w:div>
    <w:div w:id="1443838745">
      <w:marLeft w:val="0"/>
      <w:marRight w:val="0"/>
      <w:marTop w:val="10"/>
      <w:marBottom w:val="10"/>
      <w:divBdr>
        <w:top w:val="none" w:sz="0" w:space="0" w:color="auto"/>
        <w:left w:val="none" w:sz="0" w:space="0" w:color="auto"/>
        <w:bottom w:val="none" w:sz="0" w:space="0" w:color="auto"/>
        <w:right w:val="none" w:sz="0" w:space="0" w:color="auto"/>
      </w:divBdr>
    </w:div>
    <w:div w:id="1466041738">
      <w:marLeft w:val="0"/>
      <w:marRight w:val="0"/>
      <w:marTop w:val="10"/>
      <w:marBottom w:val="10"/>
      <w:divBdr>
        <w:top w:val="none" w:sz="0" w:space="0" w:color="auto"/>
        <w:left w:val="none" w:sz="0" w:space="0" w:color="auto"/>
        <w:bottom w:val="none" w:sz="0" w:space="0" w:color="auto"/>
        <w:right w:val="none" w:sz="0" w:space="0" w:color="auto"/>
      </w:divBdr>
    </w:div>
    <w:div w:id="1566144777">
      <w:marLeft w:val="0"/>
      <w:marRight w:val="0"/>
      <w:marTop w:val="10"/>
      <w:marBottom w:val="10"/>
      <w:divBdr>
        <w:top w:val="none" w:sz="0" w:space="0" w:color="auto"/>
        <w:left w:val="none" w:sz="0" w:space="0" w:color="auto"/>
        <w:bottom w:val="none" w:sz="0" w:space="0" w:color="auto"/>
        <w:right w:val="none" w:sz="0" w:space="0" w:color="auto"/>
      </w:divBdr>
    </w:div>
    <w:div w:id="1587106001">
      <w:marLeft w:val="0"/>
      <w:marRight w:val="0"/>
      <w:marTop w:val="10"/>
      <w:marBottom w:val="10"/>
      <w:divBdr>
        <w:top w:val="none" w:sz="0" w:space="0" w:color="auto"/>
        <w:left w:val="none" w:sz="0" w:space="0" w:color="auto"/>
        <w:bottom w:val="none" w:sz="0" w:space="0" w:color="auto"/>
        <w:right w:val="none" w:sz="0" w:space="0" w:color="auto"/>
      </w:divBdr>
    </w:div>
    <w:div w:id="1680041872">
      <w:marLeft w:val="0"/>
      <w:marRight w:val="0"/>
      <w:marTop w:val="10"/>
      <w:marBottom w:val="10"/>
      <w:divBdr>
        <w:top w:val="none" w:sz="0" w:space="0" w:color="auto"/>
        <w:left w:val="none" w:sz="0" w:space="0" w:color="auto"/>
        <w:bottom w:val="none" w:sz="0" w:space="0" w:color="auto"/>
        <w:right w:val="none" w:sz="0" w:space="0" w:color="auto"/>
      </w:divBdr>
    </w:div>
    <w:div w:id="1735160733">
      <w:marLeft w:val="0"/>
      <w:marRight w:val="0"/>
      <w:marTop w:val="10"/>
      <w:marBottom w:val="10"/>
      <w:divBdr>
        <w:top w:val="none" w:sz="0" w:space="0" w:color="auto"/>
        <w:left w:val="none" w:sz="0" w:space="0" w:color="auto"/>
        <w:bottom w:val="none" w:sz="0" w:space="0" w:color="auto"/>
        <w:right w:val="none" w:sz="0" w:space="0" w:color="auto"/>
      </w:divBdr>
    </w:div>
    <w:div w:id="1874266522">
      <w:marLeft w:val="0"/>
      <w:marRight w:val="720"/>
      <w:marTop w:val="10"/>
      <w:marBottom w:val="10"/>
      <w:divBdr>
        <w:top w:val="none" w:sz="0" w:space="0" w:color="auto"/>
        <w:left w:val="none" w:sz="0" w:space="0" w:color="auto"/>
        <w:bottom w:val="none" w:sz="0" w:space="0" w:color="auto"/>
        <w:right w:val="none" w:sz="0" w:space="0" w:color="auto"/>
      </w:divBdr>
    </w:div>
    <w:div w:id="1955358896">
      <w:marLeft w:val="0"/>
      <w:marRight w:val="720"/>
      <w:marTop w:val="10"/>
      <w:marBottom w:val="10"/>
      <w:divBdr>
        <w:top w:val="none" w:sz="0" w:space="0" w:color="auto"/>
        <w:left w:val="none" w:sz="0" w:space="0" w:color="auto"/>
        <w:bottom w:val="none" w:sz="0" w:space="0" w:color="auto"/>
        <w:right w:val="none" w:sz="0" w:space="0" w:color="auto"/>
      </w:divBdr>
    </w:div>
    <w:div w:id="1989480795">
      <w:marLeft w:val="0"/>
      <w:marRight w:val="0"/>
      <w:marTop w:val="10"/>
      <w:marBottom w:val="10"/>
      <w:divBdr>
        <w:top w:val="none" w:sz="0" w:space="0" w:color="auto"/>
        <w:left w:val="none" w:sz="0" w:space="0" w:color="auto"/>
        <w:bottom w:val="none" w:sz="0" w:space="0" w:color="auto"/>
        <w:right w:val="none" w:sz="0" w:space="0" w:color="auto"/>
      </w:divBdr>
    </w:div>
    <w:div w:id="2086143885">
      <w:marLeft w:val="0"/>
      <w:marRight w:val="0"/>
      <w:marTop w:val="10"/>
      <w:marBottom w:val="10"/>
      <w:divBdr>
        <w:top w:val="none" w:sz="0" w:space="0" w:color="auto"/>
        <w:left w:val="none" w:sz="0" w:space="0" w:color="auto"/>
        <w:bottom w:val="none" w:sz="0" w:space="0" w:color="auto"/>
        <w:right w:val="none" w:sz="0" w:space="0" w:color="auto"/>
      </w:divBdr>
    </w:div>
    <w:div w:id="21038690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