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6711" w:rsidRDefault="00276711">
      <w:pPr>
        <w:spacing w:line="500" w:lineRule="atLeast"/>
        <w:jc w:val="center"/>
        <w:divId w:val="200630131"/>
        <w:rPr>
          <w:rFonts w:ascii="黑体" w:eastAsia="黑体" w:hAnsi="黑体"/>
          <w:sz w:val="36"/>
          <w:szCs w:val="36"/>
        </w:rPr>
      </w:pPr>
      <w:r>
        <w:rPr>
          <w:rFonts w:ascii="黑体" w:eastAsia="黑体" w:hAnsi="黑体" w:hint="eastAsia"/>
          <w:sz w:val="36"/>
          <w:szCs w:val="36"/>
        </w:rPr>
        <w:t>广东省佛山市南海区人民法院</w:t>
      </w:r>
    </w:p>
    <w:p w:rsidR="00276711" w:rsidRDefault="00276711">
      <w:pPr>
        <w:spacing w:line="500" w:lineRule="atLeast"/>
        <w:jc w:val="center"/>
        <w:divId w:val="18757300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76711" w:rsidRDefault="00276711">
      <w:pPr>
        <w:spacing w:line="500" w:lineRule="atLeast"/>
        <w:jc w:val="right"/>
        <w:divId w:val="1432358361"/>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2804</w:t>
      </w:r>
      <w:r>
        <w:rPr>
          <w:rFonts w:hint="eastAsia"/>
          <w:sz w:val="30"/>
          <w:szCs w:val="30"/>
        </w:rPr>
        <w:t>号</w:t>
      </w:r>
    </w:p>
    <w:p w:rsidR="00276711" w:rsidRDefault="00276711">
      <w:pPr>
        <w:spacing w:line="500" w:lineRule="atLeast"/>
        <w:ind w:firstLine="600"/>
        <w:divId w:val="1306201848"/>
        <w:rPr>
          <w:rFonts w:hint="eastAsia"/>
          <w:sz w:val="30"/>
          <w:szCs w:val="30"/>
        </w:rPr>
      </w:pPr>
      <w:r>
        <w:rPr>
          <w:rFonts w:hint="eastAsia"/>
          <w:sz w:val="30"/>
          <w:szCs w:val="30"/>
        </w:rPr>
        <w:t>公诉机关佛山市南海区人民检察院。</w:t>
      </w:r>
    </w:p>
    <w:p w:rsidR="00276711" w:rsidRDefault="00276711">
      <w:pPr>
        <w:spacing w:line="500" w:lineRule="atLeast"/>
        <w:ind w:firstLine="600"/>
        <w:divId w:val="1520658235"/>
        <w:rPr>
          <w:rFonts w:hint="eastAsia"/>
          <w:sz w:val="30"/>
          <w:szCs w:val="30"/>
        </w:rPr>
      </w:pPr>
      <w:r>
        <w:rPr>
          <w:rFonts w:hint="eastAsia"/>
          <w:sz w:val="30"/>
          <w:szCs w:val="30"/>
        </w:rPr>
        <w:t>被告人邓某某，男，</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日出生于广东省英德市，汉族，大学文化，原佛山市南海区经济促进局副局长，住南海区桂城街道桂平西路</w:t>
      </w:r>
      <w:r>
        <w:rPr>
          <w:rFonts w:hint="eastAsia"/>
          <w:sz w:val="30"/>
          <w:szCs w:val="30"/>
        </w:rPr>
        <w:t>8</w:t>
      </w:r>
      <w:r>
        <w:rPr>
          <w:rFonts w:hint="eastAsia"/>
          <w:sz w:val="30"/>
          <w:szCs w:val="30"/>
        </w:rPr>
        <w:t>号金御华府御景阁</w:t>
      </w:r>
      <w:r>
        <w:rPr>
          <w:rFonts w:hint="eastAsia"/>
          <w:sz w:val="30"/>
          <w:szCs w:val="30"/>
        </w:rPr>
        <w:t>2206</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日被逮捕，现押于佛山市南海区看守所。</w:t>
      </w:r>
    </w:p>
    <w:p w:rsidR="00276711" w:rsidRDefault="00276711">
      <w:pPr>
        <w:spacing w:line="500" w:lineRule="atLeast"/>
        <w:ind w:firstLine="600"/>
        <w:divId w:val="1870332658"/>
        <w:rPr>
          <w:rFonts w:hint="eastAsia"/>
          <w:sz w:val="30"/>
          <w:szCs w:val="30"/>
        </w:rPr>
      </w:pPr>
      <w:r>
        <w:rPr>
          <w:rFonts w:hint="eastAsia"/>
          <w:sz w:val="30"/>
          <w:szCs w:val="30"/>
        </w:rPr>
        <w:t>辩护人陈剑、陆昕，广东国鼎律师事务所律师。</w:t>
      </w:r>
    </w:p>
    <w:p w:rsidR="00276711" w:rsidRDefault="00276711">
      <w:pPr>
        <w:spacing w:line="500" w:lineRule="atLeast"/>
        <w:ind w:firstLine="600"/>
        <w:divId w:val="86315543"/>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2628</w:t>
      </w:r>
      <w:r>
        <w:rPr>
          <w:rFonts w:hint="eastAsia"/>
          <w:sz w:val="30"/>
          <w:szCs w:val="30"/>
        </w:rPr>
        <w:t>号起诉书和佛南检刑变诉（</w:t>
      </w:r>
      <w:r>
        <w:rPr>
          <w:rFonts w:hint="eastAsia"/>
          <w:sz w:val="30"/>
          <w:szCs w:val="30"/>
        </w:rPr>
        <w:t>2013</w:t>
      </w:r>
      <w:r>
        <w:rPr>
          <w:rFonts w:hint="eastAsia"/>
          <w:sz w:val="30"/>
          <w:szCs w:val="30"/>
        </w:rPr>
        <w:t>）</w:t>
      </w:r>
      <w:r>
        <w:rPr>
          <w:rFonts w:hint="eastAsia"/>
          <w:sz w:val="30"/>
          <w:szCs w:val="30"/>
        </w:rPr>
        <w:t>1</w:t>
      </w:r>
      <w:r>
        <w:rPr>
          <w:rFonts w:hint="eastAsia"/>
          <w:sz w:val="30"/>
          <w:szCs w:val="30"/>
        </w:rPr>
        <w:t>号变更起诉书指控被告人邓某某犯玩忽职守罪、受贿罪，于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佛山市南海区人民检察院指派检察员关尚辉、容建江出庭支持公诉，被告人邓某某及其辩护人陈剑、陆昕到庭参加诉讼。本案因公诉机关补充侦查而延期审理，现已审理终结。</w:t>
      </w:r>
    </w:p>
    <w:p w:rsidR="00276711" w:rsidRDefault="00276711">
      <w:pPr>
        <w:spacing w:line="500" w:lineRule="atLeast"/>
        <w:divId w:val="467629234"/>
        <w:rPr>
          <w:rFonts w:hint="eastAsia"/>
          <w:sz w:val="30"/>
          <w:szCs w:val="30"/>
        </w:rPr>
      </w:pPr>
      <w:r>
        <w:rPr>
          <w:rFonts w:hint="eastAsia"/>
          <w:sz w:val="30"/>
          <w:szCs w:val="30"/>
        </w:rPr>
        <w:t>公诉机关指控：</w:t>
      </w:r>
    </w:p>
    <w:p w:rsidR="00276711" w:rsidRDefault="00276711">
      <w:pPr>
        <w:spacing w:line="500" w:lineRule="atLeast"/>
        <w:ind w:firstLine="600"/>
        <w:divId w:val="2059815275"/>
        <w:rPr>
          <w:rFonts w:hint="eastAsia"/>
          <w:sz w:val="30"/>
          <w:szCs w:val="30"/>
        </w:rPr>
      </w:pPr>
      <w:r>
        <w:rPr>
          <w:rFonts w:hint="eastAsia"/>
          <w:sz w:val="30"/>
          <w:szCs w:val="30"/>
        </w:rPr>
        <w:t>一、玩忽职守罪</w:t>
      </w:r>
    </w:p>
    <w:p w:rsidR="00276711" w:rsidRDefault="00276711">
      <w:pPr>
        <w:spacing w:line="500" w:lineRule="atLeast"/>
        <w:ind w:firstLine="600"/>
        <w:divId w:val="708803689"/>
        <w:rPr>
          <w:rFonts w:hint="eastAsia"/>
          <w:sz w:val="30"/>
          <w:szCs w:val="30"/>
        </w:rPr>
      </w:pPr>
      <w:r>
        <w:rPr>
          <w:rFonts w:hint="eastAsia"/>
          <w:sz w:val="30"/>
          <w:szCs w:val="30"/>
        </w:rPr>
        <w:t>2009</w:t>
      </w:r>
      <w:r>
        <w:rPr>
          <w:rFonts w:hint="eastAsia"/>
          <w:sz w:val="30"/>
          <w:szCs w:val="30"/>
        </w:rPr>
        <w:t>年上半年，时任佛山市南海区科技信息局局长的梁某某（已判刑）受唐某某推荐东莞市凯元实业投资有限公司罗某某（另案起诉）的“高速燃气轮机热电联供的新能源装备研发及产业化”项目，安排南海区公资委属下的南海高技术产业投资公司（以下简称高技投公司）探讨合作可能性。后高技投公司认为该项目未能进行产业化生产，不同意投资。唐某某又向梁某某提出帮助罗某某申请南海区政府的科技扶持资金，于是梁安排南海区科技信息局产业科科长陈某（另作处理）协助罗</w:t>
      </w:r>
      <w:r>
        <w:rPr>
          <w:rFonts w:hint="eastAsia"/>
          <w:sz w:val="30"/>
          <w:szCs w:val="30"/>
        </w:rPr>
        <w:lastRenderedPageBreak/>
        <w:t>某某在南海区狮山镇成立了佛山市新航发动力有限公司（以下简称新航发公司），安排时任该局科技管理科科长的被告人邓某某负责跟进资金申报事项。</w:t>
      </w:r>
    </w:p>
    <w:p w:rsidR="00276711" w:rsidRDefault="00276711">
      <w:pPr>
        <w:spacing w:line="500" w:lineRule="atLeast"/>
        <w:ind w:firstLine="600"/>
        <w:divId w:val="102044958"/>
        <w:rPr>
          <w:rFonts w:hint="eastAsia"/>
          <w:sz w:val="30"/>
          <w:szCs w:val="30"/>
        </w:rPr>
      </w:pPr>
      <w:r>
        <w:rPr>
          <w:rFonts w:hint="eastAsia"/>
          <w:sz w:val="30"/>
          <w:szCs w:val="30"/>
        </w:rPr>
        <w:t>2010</w:t>
      </w:r>
      <w:r>
        <w:rPr>
          <w:rFonts w:hint="eastAsia"/>
          <w:sz w:val="30"/>
          <w:szCs w:val="30"/>
        </w:rPr>
        <w:t>年，被告人邓某某在审查罗某某申报的“关于安排碳化硅陶瓷基复合材料技术及高效节能高速电机系统产业化项目产业化”项目时，违反《佛山市科技发展专项资金管理办法》（以下简称《办法》）等管理规定，不正确履行职责，未核实新航发公司技术、资金实力，任由罗某某虚构夸大该公司追加经费等项目；未审查该项目申报书内容的真实性，未到现场核实申报情况；任由项目推荐人唐某某担任专家论证程序的专家组组长，后该专家组出具了建议立项的专家论证意见。该项目经邓某某、梁某某批示同意并上报南海区政府，又经梁某某游说区政府主管领导后，南海区政府同意支持该项目科研经费</w:t>
      </w:r>
      <w:r>
        <w:rPr>
          <w:rFonts w:hint="eastAsia"/>
          <w:sz w:val="30"/>
          <w:szCs w:val="30"/>
        </w:rPr>
        <w:t>200</w:t>
      </w:r>
      <w:r>
        <w:rPr>
          <w:rFonts w:hint="eastAsia"/>
          <w:sz w:val="30"/>
          <w:szCs w:val="30"/>
        </w:rPr>
        <w:t>万元并拨付款项。因新航发公司缺乏科技研发、经济实力，罗某某将所得项目经费用于支付租金、服务费等花光。至案发前，上述项目的产业化目标仍未能推进。在此期间，邓某某未将该项目资金情况依照《办法》规定报请年审、验收。最终，该项目造成国家财政资金损失</w:t>
      </w:r>
      <w:r>
        <w:rPr>
          <w:rFonts w:hint="eastAsia"/>
          <w:sz w:val="30"/>
          <w:szCs w:val="30"/>
        </w:rPr>
        <w:t>200</w:t>
      </w:r>
      <w:r>
        <w:rPr>
          <w:rFonts w:hint="eastAsia"/>
          <w:sz w:val="30"/>
          <w:szCs w:val="30"/>
        </w:rPr>
        <w:t>万元。</w:t>
      </w:r>
    </w:p>
    <w:p w:rsidR="00276711" w:rsidRDefault="00276711">
      <w:pPr>
        <w:spacing w:line="500" w:lineRule="atLeast"/>
        <w:ind w:firstLine="600"/>
        <w:divId w:val="519008688"/>
        <w:rPr>
          <w:rFonts w:hint="eastAsia"/>
          <w:sz w:val="30"/>
          <w:szCs w:val="30"/>
        </w:rPr>
      </w:pPr>
      <w:r>
        <w:rPr>
          <w:rFonts w:hint="eastAsia"/>
          <w:sz w:val="30"/>
          <w:szCs w:val="30"/>
        </w:rPr>
        <w:t>二、受贿罪</w:t>
      </w:r>
    </w:p>
    <w:p w:rsidR="00276711" w:rsidRDefault="00276711">
      <w:pPr>
        <w:spacing w:line="500" w:lineRule="atLeast"/>
        <w:ind w:firstLine="600"/>
        <w:divId w:val="388192324"/>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被告人邓某某先后任职佛山市南海区科技信息局科技管理科科长、副局长。邓某某利用经手、审批科技项目的便利，在广东摩德娜科技股份有限公司等多家企业向南海区科技信息局申报认定资格、申报项目过程中，收受陈某甲（另案处理）红包</w:t>
      </w:r>
      <w:r>
        <w:rPr>
          <w:rFonts w:hint="eastAsia"/>
          <w:sz w:val="30"/>
          <w:szCs w:val="30"/>
        </w:rPr>
        <w:t>2.1</w:t>
      </w:r>
      <w:r>
        <w:rPr>
          <w:rFonts w:hint="eastAsia"/>
          <w:sz w:val="30"/>
          <w:szCs w:val="30"/>
        </w:rPr>
        <w:t>万元、好处费</w:t>
      </w:r>
      <w:r>
        <w:rPr>
          <w:rFonts w:hint="eastAsia"/>
          <w:sz w:val="30"/>
          <w:szCs w:val="30"/>
        </w:rPr>
        <w:t>37.5</w:t>
      </w:r>
      <w:r>
        <w:rPr>
          <w:rFonts w:hint="eastAsia"/>
          <w:sz w:val="30"/>
          <w:szCs w:val="30"/>
        </w:rPr>
        <w:t>万元，收受周建民（另案处理）好处费</w:t>
      </w:r>
      <w:r>
        <w:rPr>
          <w:rFonts w:hint="eastAsia"/>
          <w:sz w:val="30"/>
          <w:szCs w:val="30"/>
        </w:rPr>
        <w:t>21</w:t>
      </w:r>
      <w:r>
        <w:rPr>
          <w:rFonts w:hint="eastAsia"/>
          <w:sz w:val="30"/>
          <w:szCs w:val="30"/>
        </w:rPr>
        <w:t>万元，收受卢某某（另案处理）好处费、红包</w:t>
      </w:r>
      <w:r>
        <w:rPr>
          <w:rFonts w:hint="eastAsia"/>
          <w:sz w:val="30"/>
          <w:szCs w:val="30"/>
        </w:rPr>
        <w:t>7.4</w:t>
      </w:r>
      <w:r>
        <w:rPr>
          <w:rFonts w:hint="eastAsia"/>
          <w:sz w:val="30"/>
          <w:szCs w:val="30"/>
        </w:rPr>
        <w:t>万元，收受崔某某（另作处理）红包</w:t>
      </w:r>
      <w:r>
        <w:rPr>
          <w:rFonts w:hint="eastAsia"/>
          <w:sz w:val="30"/>
          <w:szCs w:val="30"/>
        </w:rPr>
        <w:t>7</w:t>
      </w:r>
      <w:r>
        <w:rPr>
          <w:rFonts w:hint="eastAsia"/>
          <w:sz w:val="30"/>
          <w:szCs w:val="30"/>
        </w:rPr>
        <w:t>万元、好处费</w:t>
      </w:r>
      <w:r>
        <w:rPr>
          <w:rFonts w:hint="eastAsia"/>
          <w:sz w:val="30"/>
          <w:szCs w:val="30"/>
        </w:rPr>
        <w:t>23</w:t>
      </w:r>
      <w:r>
        <w:rPr>
          <w:rFonts w:hint="eastAsia"/>
          <w:sz w:val="30"/>
          <w:szCs w:val="30"/>
        </w:rPr>
        <w:t>万元，收受王某某（另作处理）红包</w:t>
      </w:r>
      <w:r>
        <w:rPr>
          <w:rFonts w:hint="eastAsia"/>
          <w:sz w:val="30"/>
          <w:szCs w:val="30"/>
        </w:rPr>
        <w:t>6.6</w:t>
      </w:r>
      <w:r>
        <w:rPr>
          <w:rFonts w:hint="eastAsia"/>
          <w:sz w:val="30"/>
          <w:szCs w:val="30"/>
        </w:rPr>
        <w:t>万元，收受广东天波信息技术股份有限公司项目经理红包</w:t>
      </w:r>
      <w:r>
        <w:rPr>
          <w:rFonts w:hint="eastAsia"/>
          <w:sz w:val="30"/>
          <w:szCs w:val="30"/>
        </w:rPr>
        <w:t>1.6</w:t>
      </w:r>
      <w:r>
        <w:rPr>
          <w:rFonts w:hint="eastAsia"/>
          <w:sz w:val="30"/>
          <w:szCs w:val="30"/>
        </w:rPr>
        <w:t>万元，据为己有，并为相关企业、人员谋取利益。综上，邓某某收受贿赂款共计</w:t>
      </w:r>
      <w:r>
        <w:rPr>
          <w:rFonts w:hint="eastAsia"/>
          <w:sz w:val="30"/>
          <w:szCs w:val="30"/>
        </w:rPr>
        <w:t>106.2</w:t>
      </w:r>
      <w:r>
        <w:rPr>
          <w:rFonts w:hint="eastAsia"/>
          <w:sz w:val="30"/>
          <w:szCs w:val="30"/>
        </w:rPr>
        <w:t>万元。</w:t>
      </w:r>
    </w:p>
    <w:p w:rsidR="00276711" w:rsidRDefault="00276711">
      <w:pPr>
        <w:spacing w:line="500" w:lineRule="atLeast"/>
        <w:ind w:firstLine="600"/>
        <w:divId w:val="963853068"/>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月，被告人邓某某主动到中共佛山市南海区纪律检查委员会接受调查。破案后，已扣押邓某某所收受赃款。</w:t>
      </w:r>
    </w:p>
    <w:p w:rsidR="00276711" w:rsidRDefault="00276711">
      <w:pPr>
        <w:spacing w:line="500" w:lineRule="atLeast"/>
        <w:ind w:firstLine="600"/>
        <w:divId w:val="1635715021"/>
        <w:rPr>
          <w:rFonts w:hint="eastAsia"/>
          <w:sz w:val="30"/>
          <w:szCs w:val="30"/>
        </w:rPr>
      </w:pPr>
      <w:r>
        <w:rPr>
          <w:rFonts w:hint="eastAsia"/>
          <w:sz w:val="30"/>
          <w:szCs w:val="30"/>
        </w:rPr>
        <w:t>就上述指控，公诉机关向法庭出示了相关在案证据予以证实，并认为被告人邓某某的行为已触犯了《中华人民共和国刑法》第三百九十七条、第三百八十五条、第三百八十六条、第三百八十三条之规定，应当以玩忽职守罪、受贿罪追究其刑事责任；邓某某犯罪后自动投案，如实供述自己的罪行，是自首，应当依照《中华人民共和国刑法》第六十七条第一款之规定处罚；邓某某在判决宣告以前一人犯数罪，应当依照《中华人民共和国刑法》第六十九条之规定处罚。</w:t>
      </w:r>
    </w:p>
    <w:p w:rsidR="00276711" w:rsidRDefault="00276711">
      <w:pPr>
        <w:spacing w:line="500" w:lineRule="atLeast"/>
        <w:ind w:firstLine="600"/>
        <w:divId w:val="1476990461"/>
        <w:rPr>
          <w:rFonts w:hint="eastAsia"/>
          <w:sz w:val="30"/>
          <w:szCs w:val="30"/>
        </w:rPr>
      </w:pPr>
      <w:r>
        <w:rPr>
          <w:rFonts w:hint="eastAsia"/>
          <w:sz w:val="30"/>
          <w:szCs w:val="30"/>
        </w:rPr>
        <w:t>被告人邓某某对公诉机关的指控无异议。</w:t>
      </w:r>
    </w:p>
    <w:p w:rsidR="00276711" w:rsidRDefault="00276711">
      <w:pPr>
        <w:spacing w:line="500" w:lineRule="atLeast"/>
        <w:ind w:firstLine="600"/>
        <w:divId w:val="470446473"/>
        <w:rPr>
          <w:rFonts w:hint="eastAsia"/>
          <w:sz w:val="30"/>
          <w:szCs w:val="30"/>
        </w:rPr>
      </w:pPr>
      <w:r>
        <w:rPr>
          <w:rFonts w:hint="eastAsia"/>
          <w:sz w:val="30"/>
          <w:szCs w:val="30"/>
        </w:rPr>
        <w:t>辩护人请求法庭对被告人邓某某在新航发项目中的失职行为是否达到犯罪的程度依法予以综合判断和认定，并充分考虑邓某某的自首和主动退赃情节，依法对邓某某减轻处罚。</w:t>
      </w:r>
    </w:p>
    <w:p w:rsidR="00276711" w:rsidRDefault="00276711">
      <w:pPr>
        <w:spacing w:line="500" w:lineRule="atLeast"/>
        <w:ind w:firstLine="600"/>
        <w:divId w:val="1180662886"/>
        <w:rPr>
          <w:rFonts w:hint="eastAsia"/>
          <w:sz w:val="30"/>
          <w:szCs w:val="30"/>
        </w:rPr>
      </w:pPr>
      <w:r>
        <w:rPr>
          <w:rFonts w:hint="eastAsia"/>
          <w:sz w:val="30"/>
          <w:szCs w:val="30"/>
        </w:rPr>
        <w:t>经审理查明，公诉机关指控被告人邓某某玩忽职守、受贿的事实清楚，证据确实、充分，本院予以确认。</w:t>
      </w:r>
    </w:p>
    <w:p w:rsidR="00276711" w:rsidRDefault="00276711">
      <w:pPr>
        <w:spacing w:line="500" w:lineRule="atLeast"/>
        <w:ind w:firstLine="600"/>
        <w:divId w:val="119690157"/>
        <w:rPr>
          <w:rFonts w:hint="eastAsia"/>
          <w:sz w:val="30"/>
          <w:szCs w:val="30"/>
        </w:rPr>
      </w:pPr>
      <w:r>
        <w:rPr>
          <w:rFonts w:hint="eastAsia"/>
          <w:sz w:val="30"/>
          <w:szCs w:val="30"/>
        </w:rPr>
        <w:t>本院认为，被告人邓某某身为国家机关工作人员，严重不负责任，不认真履行职责，致使国家遭受特别重大损失，情节特别严重；又利用职务上的便利，非法收受他人财物，为他人谋取利益，其行为已分别构成玩忽职守罪和受贿罪。公诉机关所控罪名成立。被告人犯罪后自动投案，如实供述了自己的罪行，且案发后退出了全部违法所得，依法对其减轻处罚，采纳辩护人的相关辩护意见。被告人在判决宣告前一人犯数罪，依法实行数罪并罚。依照《中华人民共和国刑法》第三百九十七条、第三百八十五条、第三百八十六条、第三百八十三条第一款第（一）项、第二款、第六十七条第一款、第六十九条、第六十四条之规定，判决如下：</w:t>
      </w:r>
    </w:p>
    <w:p w:rsidR="00276711" w:rsidRDefault="00276711">
      <w:pPr>
        <w:spacing w:line="500" w:lineRule="atLeast"/>
        <w:ind w:firstLine="600"/>
        <w:divId w:val="811869470"/>
        <w:rPr>
          <w:rFonts w:hint="eastAsia"/>
          <w:sz w:val="30"/>
          <w:szCs w:val="30"/>
        </w:rPr>
      </w:pPr>
      <w:r>
        <w:rPr>
          <w:rFonts w:hint="eastAsia"/>
          <w:sz w:val="30"/>
          <w:szCs w:val="30"/>
        </w:rPr>
        <w:t>一、被告人邓某某犯玩忽职守罪，判处有期徒刑一年六个月；犯受贿罪，判处有期徒刑六年。决定执行有期徒刑六年六个月（刑期从判决执行之日起计算。判决执行以前先行羁押的，羁押一日折抵刑期一日，即自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日止）。</w:t>
      </w:r>
    </w:p>
    <w:p w:rsidR="00276711" w:rsidRDefault="00276711">
      <w:pPr>
        <w:spacing w:line="500" w:lineRule="atLeast"/>
        <w:ind w:firstLine="600"/>
        <w:divId w:val="2054227564"/>
        <w:rPr>
          <w:rFonts w:hint="eastAsia"/>
          <w:sz w:val="30"/>
          <w:szCs w:val="30"/>
        </w:rPr>
      </w:pPr>
      <w:r>
        <w:rPr>
          <w:rFonts w:hint="eastAsia"/>
          <w:sz w:val="30"/>
          <w:szCs w:val="30"/>
        </w:rPr>
        <w:t>二、被告人邓某某退出的违法所得</w:t>
      </w:r>
      <w:r>
        <w:rPr>
          <w:rFonts w:hint="eastAsia"/>
          <w:sz w:val="30"/>
          <w:szCs w:val="30"/>
        </w:rPr>
        <w:t>106.2</w:t>
      </w:r>
      <w:r>
        <w:rPr>
          <w:rFonts w:hint="eastAsia"/>
          <w:sz w:val="30"/>
          <w:szCs w:val="30"/>
        </w:rPr>
        <w:t>万元，予以没收，上缴国库。</w:t>
      </w:r>
    </w:p>
    <w:p w:rsidR="00276711" w:rsidRDefault="00276711">
      <w:pPr>
        <w:spacing w:line="500" w:lineRule="atLeast"/>
        <w:ind w:firstLine="600"/>
        <w:divId w:val="146461652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276711" w:rsidRDefault="00276711">
      <w:pPr>
        <w:spacing w:line="500" w:lineRule="atLeast"/>
        <w:jc w:val="right"/>
        <w:divId w:val="2014717449"/>
        <w:rPr>
          <w:rFonts w:hint="eastAsia"/>
          <w:sz w:val="30"/>
          <w:szCs w:val="30"/>
        </w:rPr>
      </w:pPr>
      <w:r>
        <w:rPr>
          <w:rFonts w:hint="eastAsia"/>
          <w:sz w:val="30"/>
          <w:szCs w:val="30"/>
        </w:rPr>
        <w:t>审　判　长　　黄丛西</w:t>
      </w:r>
    </w:p>
    <w:p w:rsidR="00276711" w:rsidRDefault="00276711">
      <w:pPr>
        <w:spacing w:line="500" w:lineRule="atLeast"/>
        <w:jc w:val="right"/>
        <w:divId w:val="892423794"/>
        <w:rPr>
          <w:rFonts w:hint="eastAsia"/>
          <w:sz w:val="30"/>
          <w:szCs w:val="30"/>
        </w:rPr>
      </w:pPr>
      <w:r>
        <w:rPr>
          <w:rFonts w:hint="eastAsia"/>
          <w:sz w:val="30"/>
          <w:szCs w:val="30"/>
        </w:rPr>
        <w:t>人民陪审员　　都海莲</w:t>
      </w:r>
    </w:p>
    <w:p w:rsidR="00276711" w:rsidRDefault="00276711">
      <w:pPr>
        <w:spacing w:line="500" w:lineRule="atLeast"/>
        <w:jc w:val="right"/>
        <w:divId w:val="99877832"/>
        <w:rPr>
          <w:rFonts w:hint="eastAsia"/>
          <w:sz w:val="30"/>
          <w:szCs w:val="30"/>
        </w:rPr>
      </w:pPr>
      <w:r>
        <w:rPr>
          <w:rFonts w:hint="eastAsia"/>
          <w:sz w:val="30"/>
          <w:szCs w:val="30"/>
        </w:rPr>
        <w:t>人民陪审员　　郑悦东</w:t>
      </w:r>
    </w:p>
    <w:p w:rsidR="00276711" w:rsidRDefault="00276711">
      <w:pPr>
        <w:spacing w:line="500" w:lineRule="atLeast"/>
        <w:jc w:val="right"/>
        <w:divId w:val="490828148"/>
        <w:rPr>
          <w:rFonts w:hint="eastAsia"/>
          <w:sz w:val="30"/>
          <w:szCs w:val="30"/>
        </w:rPr>
      </w:pPr>
      <w:r>
        <w:rPr>
          <w:rFonts w:hint="eastAsia"/>
          <w:sz w:val="30"/>
          <w:szCs w:val="30"/>
        </w:rPr>
        <w:t>二〇一四年六月九日</w:t>
      </w:r>
    </w:p>
    <w:p w:rsidR="00276711" w:rsidRDefault="00276711">
      <w:pPr>
        <w:spacing w:line="500" w:lineRule="atLeast"/>
        <w:jc w:val="right"/>
        <w:divId w:val="319233199"/>
        <w:rPr>
          <w:rFonts w:hint="eastAsia"/>
          <w:sz w:val="30"/>
          <w:szCs w:val="30"/>
        </w:rPr>
      </w:pPr>
      <w:r>
        <w:rPr>
          <w:rFonts w:hint="eastAsia"/>
          <w:sz w:val="30"/>
          <w:szCs w:val="30"/>
        </w:rPr>
        <w:t>书　记　员　　李静芳</w:t>
      </w:r>
    </w:p>
    <w:p w:rsidR="00276711" w:rsidRDefault="00276711">
      <w:pPr>
        <w:spacing w:line="500" w:lineRule="atLeast"/>
        <w:jc w:val="right"/>
        <w:divId w:val="1854101884"/>
        <w:rPr>
          <w:rFonts w:hint="eastAsia"/>
          <w:sz w:val="30"/>
          <w:szCs w:val="30"/>
        </w:rPr>
      </w:pPr>
      <w:r>
        <w:rPr>
          <w:rFonts w:hint="eastAsia"/>
          <w:sz w:val="30"/>
          <w:szCs w:val="30"/>
        </w:rPr>
        <w:t>书　记　员　　李江婧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6711" w:rsidRDefault="00276711" w:rsidP="00276711">
      <w:pPr>
        <w:rPr>
          <w:rFonts w:hint="eastAsia"/>
        </w:rPr>
      </w:pPr>
      <w:r>
        <w:separator/>
      </w:r>
    </w:p>
  </w:endnote>
  <w:endnote w:type="continuationSeparator" w:id="0">
    <w:p w:rsidR="00276711" w:rsidRDefault="00276711" w:rsidP="002767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6711" w:rsidRDefault="00276711" w:rsidP="00276711">
      <w:pPr>
        <w:rPr>
          <w:rFonts w:hint="eastAsia"/>
        </w:rPr>
      </w:pPr>
      <w:r>
        <w:separator/>
      </w:r>
    </w:p>
  </w:footnote>
  <w:footnote w:type="continuationSeparator" w:id="0">
    <w:p w:rsidR="00276711" w:rsidRDefault="00276711" w:rsidP="002767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6711"/>
    <w:rsid w:val="0027671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6711"/>
    <w:pPr>
      <w:tabs>
        <w:tab w:val="center" w:pos="4153"/>
        <w:tab w:val="right" w:pos="8306"/>
      </w:tabs>
      <w:snapToGrid w:val="0"/>
      <w:jc w:val="center"/>
    </w:pPr>
    <w:rPr>
      <w:sz w:val="18"/>
      <w:szCs w:val="18"/>
    </w:rPr>
  </w:style>
  <w:style w:type="character" w:customStyle="1" w:styleId="a4">
    <w:name w:val="页眉 字符"/>
    <w:basedOn w:val="a0"/>
    <w:link w:val="a3"/>
    <w:uiPriority w:val="99"/>
    <w:rsid w:val="00276711"/>
    <w:rPr>
      <w:rFonts w:ascii="宋体" w:eastAsia="宋体" w:hAnsi="宋体" w:cs="宋体"/>
      <w:sz w:val="18"/>
      <w:szCs w:val="18"/>
    </w:rPr>
  </w:style>
  <w:style w:type="paragraph" w:styleId="a5">
    <w:name w:val="footer"/>
    <w:basedOn w:val="a"/>
    <w:link w:val="a6"/>
    <w:uiPriority w:val="99"/>
    <w:unhideWhenUsed/>
    <w:rsid w:val="00276711"/>
    <w:pPr>
      <w:tabs>
        <w:tab w:val="center" w:pos="4153"/>
        <w:tab w:val="right" w:pos="8306"/>
      </w:tabs>
      <w:snapToGrid w:val="0"/>
    </w:pPr>
    <w:rPr>
      <w:sz w:val="18"/>
      <w:szCs w:val="18"/>
    </w:rPr>
  </w:style>
  <w:style w:type="character" w:customStyle="1" w:styleId="a6">
    <w:name w:val="页脚 字符"/>
    <w:basedOn w:val="a0"/>
    <w:link w:val="a5"/>
    <w:uiPriority w:val="99"/>
    <w:rsid w:val="0027671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5543">
      <w:marLeft w:val="0"/>
      <w:marRight w:val="0"/>
      <w:marTop w:val="10"/>
      <w:marBottom w:val="10"/>
      <w:divBdr>
        <w:top w:val="none" w:sz="0" w:space="0" w:color="auto"/>
        <w:left w:val="none" w:sz="0" w:space="0" w:color="auto"/>
        <w:bottom w:val="none" w:sz="0" w:space="0" w:color="auto"/>
        <w:right w:val="none" w:sz="0" w:space="0" w:color="auto"/>
      </w:divBdr>
    </w:div>
    <w:div w:id="99877832">
      <w:marLeft w:val="0"/>
      <w:marRight w:val="720"/>
      <w:marTop w:val="10"/>
      <w:marBottom w:val="10"/>
      <w:divBdr>
        <w:top w:val="none" w:sz="0" w:space="0" w:color="auto"/>
        <w:left w:val="none" w:sz="0" w:space="0" w:color="auto"/>
        <w:bottom w:val="none" w:sz="0" w:space="0" w:color="auto"/>
        <w:right w:val="none" w:sz="0" w:space="0" w:color="auto"/>
      </w:divBdr>
    </w:div>
    <w:div w:id="102044958">
      <w:marLeft w:val="0"/>
      <w:marRight w:val="0"/>
      <w:marTop w:val="10"/>
      <w:marBottom w:val="10"/>
      <w:divBdr>
        <w:top w:val="none" w:sz="0" w:space="0" w:color="auto"/>
        <w:left w:val="none" w:sz="0" w:space="0" w:color="auto"/>
        <w:bottom w:val="none" w:sz="0" w:space="0" w:color="auto"/>
        <w:right w:val="none" w:sz="0" w:space="0" w:color="auto"/>
      </w:divBdr>
    </w:div>
    <w:div w:id="119690157">
      <w:marLeft w:val="0"/>
      <w:marRight w:val="0"/>
      <w:marTop w:val="10"/>
      <w:marBottom w:val="10"/>
      <w:divBdr>
        <w:top w:val="none" w:sz="0" w:space="0" w:color="auto"/>
        <w:left w:val="none" w:sz="0" w:space="0" w:color="auto"/>
        <w:bottom w:val="none" w:sz="0" w:space="0" w:color="auto"/>
        <w:right w:val="none" w:sz="0" w:space="0" w:color="auto"/>
      </w:divBdr>
    </w:div>
    <w:div w:id="200630131">
      <w:marLeft w:val="0"/>
      <w:marRight w:val="0"/>
      <w:marTop w:val="10"/>
      <w:marBottom w:val="10"/>
      <w:divBdr>
        <w:top w:val="none" w:sz="0" w:space="0" w:color="auto"/>
        <w:left w:val="none" w:sz="0" w:space="0" w:color="auto"/>
        <w:bottom w:val="none" w:sz="0" w:space="0" w:color="auto"/>
        <w:right w:val="none" w:sz="0" w:space="0" w:color="auto"/>
      </w:divBdr>
    </w:div>
    <w:div w:id="319233199">
      <w:marLeft w:val="0"/>
      <w:marRight w:val="720"/>
      <w:marTop w:val="10"/>
      <w:marBottom w:val="10"/>
      <w:divBdr>
        <w:top w:val="none" w:sz="0" w:space="0" w:color="auto"/>
        <w:left w:val="none" w:sz="0" w:space="0" w:color="auto"/>
        <w:bottom w:val="none" w:sz="0" w:space="0" w:color="auto"/>
        <w:right w:val="none" w:sz="0" w:space="0" w:color="auto"/>
      </w:divBdr>
    </w:div>
    <w:div w:id="388192324">
      <w:marLeft w:val="0"/>
      <w:marRight w:val="0"/>
      <w:marTop w:val="10"/>
      <w:marBottom w:val="10"/>
      <w:divBdr>
        <w:top w:val="none" w:sz="0" w:space="0" w:color="auto"/>
        <w:left w:val="none" w:sz="0" w:space="0" w:color="auto"/>
        <w:bottom w:val="none" w:sz="0" w:space="0" w:color="auto"/>
        <w:right w:val="none" w:sz="0" w:space="0" w:color="auto"/>
      </w:divBdr>
    </w:div>
    <w:div w:id="467629234">
      <w:marLeft w:val="0"/>
      <w:marRight w:val="0"/>
      <w:marTop w:val="10"/>
      <w:marBottom w:val="10"/>
      <w:divBdr>
        <w:top w:val="none" w:sz="0" w:space="0" w:color="auto"/>
        <w:left w:val="none" w:sz="0" w:space="0" w:color="auto"/>
        <w:bottom w:val="none" w:sz="0" w:space="0" w:color="auto"/>
        <w:right w:val="none" w:sz="0" w:space="0" w:color="auto"/>
      </w:divBdr>
    </w:div>
    <w:div w:id="470446473">
      <w:marLeft w:val="0"/>
      <w:marRight w:val="0"/>
      <w:marTop w:val="10"/>
      <w:marBottom w:val="10"/>
      <w:divBdr>
        <w:top w:val="none" w:sz="0" w:space="0" w:color="auto"/>
        <w:left w:val="none" w:sz="0" w:space="0" w:color="auto"/>
        <w:bottom w:val="none" w:sz="0" w:space="0" w:color="auto"/>
        <w:right w:val="none" w:sz="0" w:space="0" w:color="auto"/>
      </w:divBdr>
    </w:div>
    <w:div w:id="490828148">
      <w:marLeft w:val="0"/>
      <w:marRight w:val="720"/>
      <w:marTop w:val="10"/>
      <w:marBottom w:val="10"/>
      <w:divBdr>
        <w:top w:val="none" w:sz="0" w:space="0" w:color="auto"/>
        <w:left w:val="none" w:sz="0" w:space="0" w:color="auto"/>
        <w:bottom w:val="none" w:sz="0" w:space="0" w:color="auto"/>
        <w:right w:val="none" w:sz="0" w:space="0" w:color="auto"/>
      </w:divBdr>
    </w:div>
    <w:div w:id="519008688">
      <w:marLeft w:val="0"/>
      <w:marRight w:val="0"/>
      <w:marTop w:val="10"/>
      <w:marBottom w:val="10"/>
      <w:divBdr>
        <w:top w:val="none" w:sz="0" w:space="0" w:color="auto"/>
        <w:left w:val="none" w:sz="0" w:space="0" w:color="auto"/>
        <w:bottom w:val="none" w:sz="0" w:space="0" w:color="auto"/>
        <w:right w:val="none" w:sz="0" w:space="0" w:color="auto"/>
      </w:divBdr>
    </w:div>
    <w:div w:id="708803689">
      <w:marLeft w:val="0"/>
      <w:marRight w:val="0"/>
      <w:marTop w:val="10"/>
      <w:marBottom w:val="10"/>
      <w:divBdr>
        <w:top w:val="none" w:sz="0" w:space="0" w:color="auto"/>
        <w:left w:val="none" w:sz="0" w:space="0" w:color="auto"/>
        <w:bottom w:val="none" w:sz="0" w:space="0" w:color="auto"/>
        <w:right w:val="none" w:sz="0" w:space="0" w:color="auto"/>
      </w:divBdr>
    </w:div>
    <w:div w:id="811869470">
      <w:marLeft w:val="0"/>
      <w:marRight w:val="0"/>
      <w:marTop w:val="10"/>
      <w:marBottom w:val="10"/>
      <w:divBdr>
        <w:top w:val="none" w:sz="0" w:space="0" w:color="auto"/>
        <w:left w:val="none" w:sz="0" w:space="0" w:color="auto"/>
        <w:bottom w:val="none" w:sz="0" w:space="0" w:color="auto"/>
        <w:right w:val="none" w:sz="0" w:space="0" w:color="auto"/>
      </w:divBdr>
    </w:div>
    <w:div w:id="892423794">
      <w:marLeft w:val="0"/>
      <w:marRight w:val="720"/>
      <w:marTop w:val="10"/>
      <w:marBottom w:val="10"/>
      <w:divBdr>
        <w:top w:val="none" w:sz="0" w:space="0" w:color="auto"/>
        <w:left w:val="none" w:sz="0" w:space="0" w:color="auto"/>
        <w:bottom w:val="none" w:sz="0" w:space="0" w:color="auto"/>
        <w:right w:val="none" w:sz="0" w:space="0" w:color="auto"/>
      </w:divBdr>
    </w:div>
    <w:div w:id="963853068">
      <w:marLeft w:val="0"/>
      <w:marRight w:val="0"/>
      <w:marTop w:val="10"/>
      <w:marBottom w:val="10"/>
      <w:divBdr>
        <w:top w:val="none" w:sz="0" w:space="0" w:color="auto"/>
        <w:left w:val="none" w:sz="0" w:space="0" w:color="auto"/>
        <w:bottom w:val="none" w:sz="0" w:space="0" w:color="auto"/>
        <w:right w:val="none" w:sz="0" w:space="0" w:color="auto"/>
      </w:divBdr>
    </w:div>
    <w:div w:id="1180662886">
      <w:marLeft w:val="0"/>
      <w:marRight w:val="0"/>
      <w:marTop w:val="10"/>
      <w:marBottom w:val="10"/>
      <w:divBdr>
        <w:top w:val="none" w:sz="0" w:space="0" w:color="auto"/>
        <w:left w:val="none" w:sz="0" w:space="0" w:color="auto"/>
        <w:bottom w:val="none" w:sz="0" w:space="0" w:color="auto"/>
        <w:right w:val="none" w:sz="0" w:space="0" w:color="auto"/>
      </w:divBdr>
    </w:div>
    <w:div w:id="1306201848">
      <w:marLeft w:val="0"/>
      <w:marRight w:val="0"/>
      <w:marTop w:val="10"/>
      <w:marBottom w:val="10"/>
      <w:divBdr>
        <w:top w:val="none" w:sz="0" w:space="0" w:color="auto"/>
        <w:left w:val="none" w:sz="0" w:space="0" w:color="auto"/>
        <w:bottom w:val="none" w:sz="0" w:space="0" w:color="auto"/>
        <w:right w:val="none" w:sz="0" w:space="0" w:color="auto"/>
      </w:divBdr>
    </w:div>
    <w:div w:id="1432358361">
      <w:marLeft w:val="0"/>
      <w:marRight w:val="0"/>
      <w:marTop w:val="10"/>
      <w:marBottom w:val="10"/>
      <w:divBdr>
        <w:top w:val="none" w:sz="0" w:space="0" w:color="auto"/>
        <w:left w:val="none" w:sz="0" w:space="0" w:color="auto"/>
        <w:bottom w:val="none" w:sz="0" w:space="0" w:color="auto"/>
        <w:right w:val="none" w:sz="0" w:space="0" w:color="auto"/>
      </w:divBdr>
    </w:div>
    <w:div w:id="1464616528">
      <w:marLeft w:val="0"/>
      <w:marRight w:val="0"/>
      <w:marTop w:val="10"/>
      <w:marBottom w:val="10"/>
      <w:divBdr>
        <w:top w:val="none" w:sz="0" w:space="0" w:color="auto"/>
        <w:left w:val="none" w:sz="0" w:space="0" w:color="auto"/>
        <w:bottom w:val="none" w:sz="0" w:space="0" w:color="auto"/>
        <w:right w:val="none" w:sz="0" w:space="0" w:color="auto"/>
      </w:divBdr>
    </w:div>
    <w:div w:id="1476990461">
      <w:marLeft w:val="0"/>
      <w:marRight w:val="0"/>
      <w:marTop w:val="10"/>
      <w:marBottom w:val="10"/>
      <w:divBdr>
        <w:top w:val="none" w:sz="0" w:space="0" w:color="auto"/>
        <w:left w:val="none" w:sz="0" w:space="0" w:color="auto"/>
        <w:bottom w:val="none" w:sz="0" w:space="0" w:color="auto"/>
        <w:right w:val="none" w:sz="0" w:space="0" w:color="auto"/>
      </w:divBdr>
    </w:div>
    <w:div w:id="1520658235">
      <w:marLeft w:val="0"/>
      <w:marRight w:val="0"/>
      <w:marTop w:val="10"/>
      <w:marBottom w:val="10"/>
      <w:divBdr>
        <w:top w:val="none" w:sz="0" w:space="0" w:color="auto"/>
        <w:left w:val="none" w:sz="0" w:space="0" w:color="auto"/>
        <w:bottom w:val="none" w:sz="0" w:space="0" w:color="auto"/>
        <w:right w:val="none" w:sz="0" w:space="0" w:color="auto"/>
      </w:divBdr>
    </w:div>
    <w:div w:id="1635715021">
      <w:marLeft w:val="0"/>
      <w:marRight w:val="0"/>
      <w:marTop w:val="10"/>
      <w:marBottom w:val="10"/>
      <w:divBdr>
        <w:top w:val="none" w:sz="0" w:space="0" w:color="auto"/>
        <w:left w:val="none" w:sz="0" w:space="0" w:color="auto"/>
        <w:bottom w:val="none" w:sz="0" w:space="0" w:color="auto"/>
        <w:right w:val="none" w:sz="0" w:space="0" w:color="auto"/>
      </w:divBdr>
    </w:div>
    <w:div w:id="1854101884">
      <w:marLeft w:val="0"/>
      <w:marRight w:val="720"/>
      <w:marTop w:val="10"/>
      <w:marBottom w:val="10"/>
      <w:divBdr>
        <w:top w:val="none" w:sz="0" w:space="0" w:color="auto"/>
        <w:left w:val="none" w:sz="0" w:space="0" w:color="auto"/>
        <w:bottom w:val="none" w:sz="0" w:space="0" w:color="auto"/>
        <w:right w:val="none" w:sz="0" w:space="0" w:color="auto"/>
      </w:divBdr>
    </w:div>
    <w:div w:id="1870332658">
      <w:marLeft w:val="0"/>
      <w:marRight w:val="0"/>
      <w:marTop w:val="10"/>
      <w:marBottom w:val="10"/>
      <w:divBdr>
        <w:top w:val="none" w:sz="0" w:space="0" w:color="auto"/>
        <w:left w:val="none" w:sz="0" w:space="0" w:color="auto"/>
        <w:bottom w:val="none" w:sz="0" w:space="0" w:color="auto"/>
        <w:right w:val="none" w:sz="0" w:space="0" w:color="auto"/>
      </w:divBdr>
    </w:div>
    <w:div w:id="1875730020">
      <w:marLeft w:val="0"/>
      <w:marRight w:val="0"/>
      <w:marTop w:val="10"/>
      <w:marBottom w:val="10"/>
      <w:divBdr>
        <w:top w:val="none" w:sz="0" w:space="0" w:color="auto"/>
        <w:left w:val="none" w:sz="0" w:space="0" w:color="auto"/>
        <w:bottom w:val="none" w:sz="0" w:space="0" w:color="auto"/>
        <w:right w:val="none" w:sz="0" w:space="0" w:color="auto"/>
      </w:divBdr>
    </w:div>
    <w:div w:id="2014717449">
      <w:marLeft w:val="0"/>
      <w:marRight w:val="720"/>
      <w:marTop w:val="10"/>
      <w:marBottom w:val="10"/>
      <w:divBdr>
        <w:top w:val="none" w:sz="0" w:space="0" w:color="auto"/>
        <w:left w:val="none" w:sz="0" w:space="0" w:color="auto"/>
        <w:bottom w:val="none" w:sz="0" w:space="0" w:color="auto"/>
        <w:right w:val="none" w:sz="0" w:space="0" w:color="auto"/>
      </w:divBdr>
    </w:div>
    <w:div w:id="2054227564">
      <w:marLeft w:val="0"/>
      <w:marRight w:val="0"/>
      <w:marTop w:val="10"/>
      <w:marBottom w:val="10"/>
      <w:divBdr>
        <w:top w:val="none" w:sz="0" w:space="0" w:color="auto"/>
        <w:left w:val="none" w:sz="0" w:space="0" w:color="auto"/>
        <w:bottom w:val="none" w:sz="0" w:space="0" w:color="auto"/>
        <w:right w:val="none" w:sz="0" w:space="0" w:color="auto"/>
      </w:divBdr>
    </w:div>
    <w:div w:id="20598152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