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00A81" w:rsidRDefault="00700A81">
      <w:pPr>
        <w:spacing w:line="500" w:lineRule="atLeast"/>
        <w:jc w:val="center"/>
        <w:divId w:val="838158480"/>
        <w:rPr>
          <w:rFonts w:ascii="黑体" w:eastAsia="黑体" w:hAnsi="黑体"/>
          <w:sz w:val="36"/>
          <w:szCs w:val="36"/>
        </w:rPr>
      </w:pPr>
      <w:r>
        <w:rPr>
          <w:rFonts w:ascii="黑体" w:eastAsia="黑体" w:hAnsi="黑体" w:hint="eastAsia"/>
          <w:sz w:val="36"/>
          <w:szCs w:val="36"/>
        </w:rPr>
        <w:t>河源市源城区人民法院</w:t>
      </w:r>
    </w:p>
    <w:p w:rsidR="00700A81" w:rsidRDefault="00700A81">
      <w:pPr>
        <w:spacing w:line="500" w:lineRule="atLeast"/>
        <w:jc w:val="center"/>
        <w:divId w:val="127077372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00A81" w:rsidRDefault="00700A81">
      <w:pPr>
        <w:spacing w:line="500" w:lineRule="atLeast"/>
        <w:jc w:val="right"/>
        <w:divId w:val="1770753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1602</w:t>
      </w:r>
      <w:r>
        <w:rPr>
          <w:rFonts w:hint="eastAsia"/>
          <w:sz w:val="30"/>
          <w:szCs w:val="30"/>
        </w:rPr>
        <w:t>刑初</w:t>
      </w:r>
      <w:r>
        <w:rPr>
          <w:rFonts w:hint="eastAsia"/>
          <w:sz w:val="30"/>
          <w:szCs w:val="30"/>
        </w:rPr>
        <w:t>511</w:t>
      </w:r>
      <w:r>
        <w:rPr>
          <w:rFonts w:hint="eastAsia"/>
          <w:sz w:val="30"/>
          <w:szCs w:val="30"/>
        </w:rPr>
        <w:t>号</w:t>
      </w:r>
    </w:p>
    <w:p w:rsidR="00700A81" w:rsidRDefault="00700A81">
      <w:pPr>
        <w:spacing w:line="500" w:lineRule="atLeast"/>
        <w:ind w:firstLine="600"/>
        <w:divId w:val="2119371071"/>
        <w:rPr>
          <w:rFonts w:hint="eastAsia"/>
          <w:sz w:val="30"/>
          <w:szCs w:val="30"/>
        </w:rPr>
      </w:pPr>
      <w:r>
        <w:rPr>
          <w:rFonts w:hint="eastAsia"/>
          <w:sz w:val="30"/>
          <w:szCs w:val="30"/>
        </w:rPr>
        <w:t>公诉机关河源市源城区人民检察院。</w:t>
      </w:r>
    </w:p>
    <w:p w:rsidR="00700A81" w:rsidRDefault="00700A81">
      <w:pPr>
        <w:spacing w:line="500" w:lineRule="atLeast"/>
        <w:ind w:firstLine="600"/>
        <w:divId w:val="1019701362"/>
        <w:rPr>
          <w:rFonts w:hint="eastAsia"/>
          <w:sz w:val="30"/>
          <w:szCs w:val="30"/>
        </w:rPr>
      </w:pPr>
      <w:r>
        <w:rPr>
          <w:rFonts w:hint="eastAsia"/>
          <w:sz w:val="30"/>
          <w:szCs w:val="30"/>
        </w:rPr>
        <w:t>被告人邹某某，男，</w:t>
      </w:r>
      <w:r>
        <w:rPr>
          <w:rFonts w:hint="eastAsia"/>
          <w:sz w:val="30"/>
          <w:szCs w:val="30"/>
        </w:rPr>
        <w:t>1962</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日出生，汉族，大学专科文化，河源市慢性病防治院院长，户籍所在地广东省河源市源城区，于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日因涉嫌贪污罪被河源市公安局源城分局刑事拘留；</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日被依法逮捕，现羁押于河源市看守所。</w:t>
      </w:r>
    </w:p>
    <w:p w:rsidR="00700A81" w:rsidRDefault="00700A81">
      <w:pPr>
        <w:spacing w:line="500" w:lineRule="atLeast"/>
        <w:ind w:firstLine="600"/>
        <w:divId w:val="263267165"/>
        <w:rPr>
          <w:rFonts w:hint="eastAsia"/>
          <w:sz w:val="30"/>
          <w:szCs w:val="30"/>
        </w:rPr>
      </w:pPr>
      <w:r>
        <w:rPr>
          <w:rFonts w:hint="eastAsia"/>
          <w:sz w:val="30"/>
          <w:szCs w:val="30"/>
        </w:rPr>
        <w:t>辩护人王珂，广东贤贵律师事务所律师。</w:t>
      </w:r>
    </w:p>
    <w:p w:rsidR="00700A81" w:rsidRDefault="00700A81">
      <w:pPr>
        <w:spacing w:line="500" w:lineRule="atLeast"/>
        <w:ind w:firstLine="600"/>
        <w:divId w:val="1213496792"/>
        <w:rPr>
          <w:rFonts w:hint="eastAsia"/>
          <w:sz w:val="30"/>
          <w:szCs w:val="30"/>
        </w:rPr>
      </w:pPr>
      <w:r>
        <w:rPr>
          <w:rFonts w:hint="eastAsia"/>
          <w:sz w:val="30"/>
          <w:szCs w:val="30"/>
        </w:rPr>
        <w:t>河源市源城区人民检察院以源检公诉刑诉</w:t>
      </w:r>
      <w:r>
        <w:rPr>
          <w:rFonts w:hint="eastAsia"/>
          <w:sz w:val="30"/>
          <w:szCs w:val="30"/>
        </w:rPr>
        <w:t>[2016]485</w:t>
      </w:r>
      <w:r>
        <w:rPr>
          <w:rFonts w:hint="eastAsia"/>
          <w:sz w:val="30"/>
          <w:szCs w:val="30"/>
        </w:rPr>
        <w:t>号起诉书指控被告人邹某某犯贪污罪，于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日向本院提起公诉，本院依法组成合议庭，公开开庭审理了本案。源城区人民检察院指派代理检察员诸晖出庭支持公诉，被告人邹某某及其辩护人王珂到庭参加了诉讼。现已审理终结。</w:t>
      </w:r>
    </w:p>
    <w:p w:rsidR="00700A81" w:rsidRDefault="00700A81">
      <w:pPr>
        <w:spacing w:line="500" w:lineRule="atLeast"/>
        <w:ind w:firstLine="600"/>
        <w:divId w:val="1734235101"/>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河源市慢性疾病防治院（以下简称市慢性防治院）与中国联合网络通信有限公司河源分公司（以下简称市联通公司）签订租赁合同，双方约定将市慢病院顶楼天台出租给市联通公司用于建设基站。第一次签订合同租赁期限是</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月份至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月份，租金为每年人民币</w:t>
      </w:r>
      <w:r>
        <w:rPr>
          <w:rFonts w:hint="eastAsia"/>
          <w:sz w:val="30"/>
          <w:szCs w:val="30"/>
        </w:rPr>
        <w:t>15000</w:t>
      </w:r>
      <w:r>
        <w:rPr>
          <w:rFonts w:hint="eastAsia"/>
          <w:sz w:val="30"/>
          <w:szCs w:val="30"/>
        </w:rPr>
        <w:t>元，合同约定的付款方式为由市联通公司转账到市慢病院单位账户；续约合同租赁期限是</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月份至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月份，租金为每年人民币</w:t>
      </w:r>
      <w:r>
        <w:rPr>
          <w:rFonts w:hint="eastAsia"/>
          <w:sz w:val="30"/>
          <w:szCs w:val="30"/>
        </w:rPr>
        <w:t>16000</w:t>
      </w:r>
      <w:r>
        <w:rPr>
          <w:rFonts w:hint="eastAsia"/>
          <w:sz w:val="30"/>
          <w:szCs w:val="30"/>
        </w:rPr>
        <w:t>元。</w:t>
      </w:r>
    </w:p>
    <w:p w:rsidR="00700A81" w:rsidRDefault="00700A81">
      <w:pPr>
        <w:spacing w:line="500" w:lineRule="atLeast"/>
        <w:ind w:firstLine="600"/>
        <w:divId w:val="2033602648"/>
        <w:rPr>
          <w:rFonts w:hint="eastAsia"/>
          <w:sz w:val="30"/>
          <w:szCs w:val="30"/>
        </w:rPr>
      </w:pPr>
      <w:r>
        <w:rPr>
          <w:rFonts w:hint="eastAsia"/>
          <w:sz w:val="30"/>
          <w:szCs w:val="30"/>
        </w:rPr>
        <w:t>2014</w:t>
      </w:r>
      <w:r>
        <w:rPr>
          <w:rFonts w:hint="eastAsia"/>
          <w:sz w:val="30"/>
          <w:szCs w:val="30"/>
        </w:rPr>
        <w:t>年</w:t>
      </w:r>
      <w:r>
        <w:rPr>
          <w:rFonts w:hint="eastAsia"/>
          <w:sz w:val="30"/>
          <w:szCs w:val="30"/>
        </w:rPr>
        <w:t>11</w:t>
      </w:r>
      <w:r>
        <w:rPr>
          <w:rFonts w:hint="eastAsia"/>
          <w:sz w:val="30"/>
          <w:szCs w:val="30"/>
        </w:rPr>
        <w:t>月份，市联通公司员工叶某某（另案处理）找到被告人邹某某要求继续租赁顶楼天台，被告人邹某某意图侵吞</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年联通公司尚未缴纳的</w:t>
      </w:r>
      <w:r>
        <w:rPr>
          <w:rFonts w:hint="eastAsia"/>
          <w:sz w:val="30"/>
          <w:szCs w:val="30"/>
        </w:rPr>
        <w:t>30000</w:t>
      </w:r>
      <w:r>
        <w:rPr>
          <w:rFonts w:hint="eastAsia"/>
          <w:sz w:val="30"/>
          <w:szCs w:val="30"/>
        </w:rPr>
        <w:t>元租金，便与叶某某商量，以先将租金转至第三人账户再取现金的手段把租</w:t>
      </w:r>
      <w:r>
        <w:rPr>
          <w:rFonts w:hint="eastAsia"/>
          <w:sz w:val="30"/>
          <w:szCs w:val="30"/>
        </w:rPr>
        <w:lastRenderedPageBreak/>
        <w:t>金截留侵吞。后叶某某将该</w:t>
      </w:r>
      <w:r>
        <w:rPr>
          <w:rFonts w:hint="eastAsia"/>
          <w:sz w:val="30"/>
          <w:szCs w:val="30"/>
        </w:rPr>
        <w:t>30000</w:t>
      </w:r>
      <w:r>
        <w:rPr>
          <w:rFonts w:hint="eastAsia"/>
          <w:sz w:val="30"/>
          <w:szCs w:val="30"/>
        </w:rPr>
        <w:t>元租金从市联通公司转入其朋友李某某账户后再取出现金，除支付开具发票所缴纳的</w:t>
      </w:r>
      <w:r>
        <w:rPr>
          <w:rFonts w:hint="eastAsia"/>
          <w:sz w:val="30"/>
          <w:szCs w:val="30"/>
        </w:rPr>
        <w:t>2250</w:t>
      </w:r>
      <w:r>
        <w:rPr>
          <w:rFonts w:hint="eastAsia"/>
          <w:sz w:val="30"/>
          <w:szCs w:val="30"/>
        </w:rPr>
        <w:t>元税款外，于</w:t>
      </w:r>
      <w:r>
        <w:rPr>
          <w:rFonts w:hint="eastAsia"/>
          <w:sz w:val="30"/>
          <w:szCs w:val="30"/>
        </w:rPr>
        <w:t>2015</w:t>
      </w:r>
      <w:r>
        <w:rPr>
          <w:rFonts w:hint="eastAsia"/>
          <w:sz w:val="30"/>
          <w:szCs w:val="30"/>
        </w:rPr>
        <w:t>年初在河源市源城区旺源路尚客优酒店一房间内，将剩余的人民币</w:t>
      </w:r>
      <w:r>
        <w:rPr>
          <w:rFonts w:hint="eastAsia"/>
          <w:sz w:val="30"/>
          <w:szCs w:val="30"/>
        </w:rPr>
        <w:t>27750</w:t>
      </w:r>
      <w:r>
        <w:rPr>
          <w:rFonts w:hint="eastAsia"/>
          <w:sz w:val="30"/>
          <w:szCs w:val="30"/>
        </w:rPr>
        <w:t>元交给了被告人邹某某，被告人邹某某当即分给叶某某</w:t>
      </w:r>
      <w:r>
        <w:rPr>
          <w:rFonts w:hint="eastAsia"/>
          <w:sz w:val="30"/>
          <w:szCs w:val="30"/>
        </w:rPr>
        <w:t>3000</w:t>
      </w:r>
      <w:r>
        <w:rPr>
          <w:rFonts w:hint="eastAsia"/>
          <w:sz w:val="30"/>
          <w:szCs w:val="30"/>
        </w:rPr>
        <w:t>元辛苦费。</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月份，被告人邹某某伙同叶某某以同样的方式截留了</w:t>
      </w:r>
      <w:r>
        <w:rPr>
          <w:rFonts w:hint="eastAsia"/>
          <w:sz w:val="30"/>
          <w:szCs w:val="30"/>
        </w:rPr>
        <w:t>2015</w:t>
      </w:r>
      <w:r>
        <w:rPr>
          <w:rFonts w:hint="eastAsia"/>
          <w:sz w:val="30"/>
          <w:szCs w:val="30"/>
        </w:rPr>
        <w:t>年度租金</w:t>
      </w:r>
      <w:r>
        <w:rPr>
          <w:rFonts w:hint="eastAsia"/>
          <w:sz w:val="30"/>
          <w:szCs w:val="30"/>
        </w:rPr>
        <w:t>16000</w:t>
      </w:r>
      <w:r>
        <w:rPr>
          <w:rFonts w:hint="eastAsia"/>
          <w:sz w:val="30"/>
          <w:szCs w:val="30"/>
        </w:rPr>
        <w:t>元，其中被告人邹某某分得人民币</w:t>
      </w:r>
      <w:r>
        <w:rPr>
          <w:rFonts w:hint="eastAsia"/>
          <w:sz w:val="30"/>
          <w:szCs w:val="30"/>
        </w:rPr>
        <w:t>10000</w:t>
      </w:r>
      <w:r>
        <w:rPr>
          <w:rFonts w:hint="eastAsia"/>
          <w:sz w:val="30"/>
          <w:szCs w:val="30"/>
        </w:rPr>
        <w:t>元，叶某某分得了人民币</w:t>
      </w:r>
      <w:r>
        <w:rPr>
          <w:rFonts w:hint="eastAsia"/>
          <w:sz w:val="30"/>
          <w:szCs w:val="30"/>
        </w:rPr>
        <w:t>6000</w:t>
      </w:r>
      <w:r>
        <w:rPr>
          <w:rFonts w:hint="eastAsia"/>
          <w:sz w:val="30"/>
          <w:szCs w:val="30"/>
        </w:rPr>
        <w:t>元。</w:t>
      </w:r>
    </w:p>
    <w:p w:rsidR="00700A81" w:rsidRDefault="00700A81">
      <w:pPr>
        <w:spacing w:line="500" w:lineRule="atLeast"/>
        <w:ind w:firstLine="600"/>
        <w:divId w:val="1700544512"/>
        <w:rPr>
          <w:rFonts w:hint="eastAsia"/>
          <w:sz w:val="30"/>
          <w:szCs w:val="30"/>
        </w:rPr>
      </w:pPr>
      <w:r>
        <w:rPr>
          <w:rFonts w:hint="eastAsia"/>
          <w:sz w:val="30"/>
          <w:szCs w:val="30"/>
        </w:rPr>
        <w:t>上述事实被告人邹某某在法庭审理过程中无异议且有书证：自述材料、收据、现金缴款单、基站租赁合同、个人信息查询、取款凭证、扣押决定书、扣押清单、退还清单、委托书、记账凭证、小额支付入账通知书、对账单、广东省地方税收通用发票、证明、员工聘用合同、报账材料、总账凭证、任职通知、关于设立市慢性病防治院的批复、关于调整市慢性病防治院机构类别的通知、河源市卫生局所属事业单位分类改革方案、关于市直事业单位分类改革相关事项的处理意见、河源市事业单位分类改革的实施意见、关于预算外资金管理的收入纳入预算管理有关问题的通知、关于尚未纳入财政管理的市级政府非税收入纳入“收支两条线”管理的通知、河源市市直机关事业单位经营性资产管理暂行办法、河源市市直行政事业单位经营性国有资产监管暂行办法、户籍资料；证人邹某某、谢某某、廖某某、刘某、江某某、刘某某、何某、李某某、邹某的证言；同案人叶某某的供述；被告人邹某某的供述、辩解及同步录音录像等证据证实，足以认定。</w:t>
      </w:r>
    </w:p>
    <w:p w:rsidR="00700A81" w:rsidRDefault="00700A81">
      <w:pPr>
        <w:spacing w:line="500" w:lineRule="atLeast"/>
        <w:ind w:firstLine="600"/>
        <w:divId w:val="1681928937"/>
        <w:rPr>
          <w:rFonts w:hint="eastAsia"/>
          <w:sz w:val="30"/>
          <w:szCs w:val="30"/>
        </w:rPr>
      </w:pPr>
      <w:r>
        <w:rPr>
          <w:rFonts w:hint="eastAsia"/>
          <w:sz w:val="30"/>
          <w:szCs w:val="30"/>
        </w:rPr>
        <w:t>以上证据经过庭审举证和质证，来源合法，内容客观真实，且能相互印证，可以作为本案的定罪证据，本院予以认定。</w:t>
      </w:r>
    </w:p>
    <w:p w:rsidR="00700A81" w:rsidRDefault="00700A81">
      <w:pPr>
        <w:spacing w:line="500" w:lineRule="atLeast"/>
        <w:ind w:firstLine="600"/>
        <w:divId w:val="727413464"/>
        <w:rPr>
          <w:rFonts w:hint="eastAsia"/>
          <w:sz w:val="30"/>
          <w:szCs w:val="30"/>
        </w:rPr>
      </w:pPr>
      <w:r>
        <w:rPr>
          <w:rFonts w:hint="eastAsia"/>
          <w:sz w:val="30"/>
          <w:szCs w:val="30"/>
        </w:rPr>
        <w:t>本院认为，被告人邹某某身为国家工作人员，利用职务便利，截留并侵吞公款</w:t>
      </w:r>
      <w:r>
        <w:rPr>
          <w:rFonts w:hint="eastAsia"/>
          <w:sz w:val="30"/>
          <w:szCs w:val="30"/>
        </w:rPr>
        <w:t>46000</w:t>
      </w:r>
      <w:r>
        <w:rPr>
          <w:rFonts w:hint="eastAsia"/>
          <w:sz w:val="30"/>
          <w:szCs w:val="30"/>
        </w:rPr>
        <w:t>元，其行为已构成贪污罪。公诉机关指控被告人邹某某犯罪事实清楚，证据确实、充分，罪名成立。被告人邹某某的辩护人提出被告人邹某某自愿认罪，又是初犯，且已退清了全部赃款，请求从轻处罚的辩护意见。该辩护意见与事实相符，本院予以采纳。被告人邹某某认罪态度好，有悔罪表现，又是初犯，决定适用缓刑。依照《中华人民共和国刑法》第三百八十二条、第三百八十三条、第五十二条、第五十三条、第七十二条、第七十三条、第六十七条第三款、《最高人民法院、最高人民检察院关于办理贪污贿赂刑事案件适用法律若干问题的解释》第一条、第十九条之规定</w:t>
      </w:r>
      <w:r>
        <w:rPr>
          <w:rFonts w:hint="eastAsia"/>
          <w:sz w:val="30"/>
          <w:szCs w:val="30"/>
        </w:rPr>
        <w:t>,</w:t>
      </w:r>
      <w:r>
        <w:rPr>
          <w:rFonts w:hint="eastAsia"/>
          <w:sz w:val="30"/>
          <w:szCs w:val="30"/>
        </w:rPr>
        <w:t>判决如下：</w:t>
      </w:r>
    </w:p>
    <w:p w:rsidR="00700A81" w:rsidRDefault="00700A81">
      <w:pPr>
        <w:spacing w:line="500" w:lineRule="atLeast"/>
        <w:ind w:firstLine="600"/>
        <w:divId w:val="1647590826"/>
        <w:rPr>
          <w:rFonts w:hint="eastAsia"/>
          <w:sz w:val="30"/>
          <w:szCs w:val="30"/>
        </w:rPr>
      </w:pPr>
      <w:r>
        <w:rPr>
          <w:rFonts w:hint="eastAsia"/>
          <w:sz w:val="30"/>
          <w:szCs w:val="30"/>
        </w:rPr>
        <w:t>被告人邹某某犯贪污罪，判处有期徒刑一年，缓刑一年，并处罚金十万元。</w:t>
      </w:r>
    </w:p>
    <w:p w:rsidR="00700A81" w:rsidRDefault="00700A81">
      <w:pPr>
        <w:spacing w:line="500" w:lineRule="atLeast"/>
        <w:ind w:firstLine="600"/>
        <w:divId w:val="1034771880"/>
        <w:rPr>
          <w:rFonts w:hint="eastAsia"/>
          <w:sz w:val="30"/>
          <w:szCs w:val="30"/>
        </w:rPr>
      </w:pPr>
      <w:r>
        <w:rPr>
          <w:rFonts w:hint="eastAsia"/>
          <w:sz w:val="30"/>
          <w:szCs w:val="30"/>
        </w:rPr>
        <w:t>缓刑考验期限，从判决确定之日起计算。</w:t>
      </w:r>
    </w:p>
    <w:p w:rsidR="00700A81" w:rsidRDefault="00700A81">
      <w:pPr>
        <w:spacing w:line="500" w:lineRule="atLeast"/>
        <w:ind w:firstLine="600"/>
        <w:divId w:val="227352120"/>
        <w:rPr>
          <w:rFonts w:hint="eastAsia"/>
          <w:sz w:val="30"/>
          <w:szCs w:val="30"/>
        </w:rPr>
      </w:pPr>
      <w:r>
        <w:rPr>
          <w:rFonts w:hint="eastAsia"/>
          <w:sz w:val="30"/>
          <w:szCs w:val="30"/>
        </w:rPr>
        <w:t>罚金自本判决生效后十日内向本院缴交。</w:t>
      </w:r>
    </w:p>
    <w:p w:rsidR="00700A81" w:rsidRDefault="00700A81">
      <w:pPr>
        <w:spacing w:line="500" w:lineRule="atLeast"/>
        <w:ind w:firstLine="600"/>
        <w:divId w:val="1344241112"/>
        <w:rPr>
          <w:rFonts w:hint="eastAsia"/>
          <w:sz w:val="30"/>
          <w:szCs w:val="30"/>
        </w:rPr>
      </w:pPr>
      <w:r>
        <w:rPr>
          <w:rFonts w:hint="eastAsia"/>
          <w:sz w:val="30"/>
          <w:szCs w:val="30"/>
        </w:rPr>
        <w:t>如不服本判决，可在接到判决书的第二日起十日内，通过本院或直接向河源市中级人民法院提出上诉，书面上诉的，应提交上诉状正本一份，副本二份。</w:t>
      </w:r>
    </w:p>
    <w:p w:rsidR="00700A81" w:rsidRDefault="00700A81">
      <w:pPr>
        <w:spacing w:line="500" w:lineRule="atLeast"/>
        <w:jc w:val="right"/>
        <w:divId w:val="1948737248"/>
        <w:rPr>
          <w:rFonts w:hint="eastAsia"/>
          <w:sz w:val="30"/>
          <w:szCs w:val="30"/>
        </w:rPr>
      </w:pPr>
      <w:r>
        <w:rPr>
          <w:rFonts w:hint="eastAsia"/>
          <w:sz w:val="30"/>
          <w:szCs w:val="30"/>
        </w:rPr>
        <w:t>审　判　长　　罗海冰</w:t>
      </w:r>
    </w:p>
    <w:p w:rsidR="00700A81" w:rsidRDefault="00700A81">
      <w:pPr>
        <w:spacing w:line="500" w:lineRule="atLeast"/>
        <w:jc w:val="right"/>
        <w:divId w:val="1460798774"/>
        <w:rPr>
          <w:rFonts w:hint="eastAsia"/>
          <w:sz w:val="30"/>
          <w:szCs w:val="30"/>
        </w:rPr>
      </w:pPr>
      <w:r>
        <w:rPr>
          <w:rFonts w:hint="eastAsia"/>
          <w:sz w:val="30"/>
          <w:szCs w:val="30"/>
        </w:rPr>
        <w:t>审　判　员　　李春霞</w:t>
      </w:r>
    </w:p>
    <w:p w:rsidR="00700A81" w:rsidRDefault="00700A81">
      <w:pPr>
        <w:spacing w:line="500" w:lineRule="atLeast"/>
        <w:jc w:val="right"/>
        <w:divId w:val="1962371674"/>
        <w:rPr>
          <w:rFonts w:hint="eastAsia"/>
          <w:sz w:val="30"/>
          <w:szCs w:val="30"/>
        </w:rPr>
      </w:pPr>
      <w:r>
        <w:rPr>
          <w:rFonts w:hint="eastAsia"/>
          <w:sz w:val="30"/>
          <w:szCs w:val="30"/>
        </w:rPr>
        <w:t>代理审判员　　叶莉萍</w:t>
      </w:r>
    </w:p>
    <w:p w:rsidR="00700A81" w:rsidRDefault="00700A81">
      <w:pPr>
        <w:spacing w:line="500" w:lineRule="atLeast"/>
        <w:jc w:val="right"/>
        <w:divId w:val="901019614"/>
        <w:rPr>
          <w:rFonts w:hint="eastAsia"/>
          <w:sz w:val="30"/>
          <w:szCs w:val="30"/>
        </w:rPr>
      </w:pPr>
      <w:r>
        <w:rPr>
          <w:rFonts w:hint="eastAsia"/>
          <w:sz w:val="30"/>
          <w:szCs w:val="30"/>
        </w:rPr>
        <w:t>二〇一七年一月二十六日</w:t>
      </w:r>
    </w:p>
    <w:p w:rsidR="00700A81" w:rsidRDefault="00700A81">
      <w:pPr>
        <w:spacing w:line="500" w:lineRule="atLeast"/>
        <w:jc w:val="right"/>
        <w:divId w:val="522285140"/>
        <w:rPr>
          <w:rFonts w:hint="eastAsia"/>
          <w:sz w:val="30"/>
          <w:szCs w:val="30"/>
        </w:rPr>
      </w:pPr>
      <w:r>
        <w:rPr>
          <w:rFonts w:hint="eastAsia"/>
          <w:sz w:val="30"/>
          <w:szCs w:val="30"/>
        </w:rPr>
        <w:t>书　记　员　　李俊科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00A81" w:rsidRDefault="00700A81" w:rsidP="00700A81">
      <w:pPr>
        <w:rPr>
          <w:rFonts w:hint="eastAsia"/>
        </w:rPr>
      </w:pPr>
      <w:r>
        <w:separator/>
      </w:r>
    </w:p>
  </w:endnote>
  <w:endnote w:type="continuationSeparator" w:id="0">
    <w:p w:rsidR="00700A81" w:rsidRDefault="00700A81" w:rsidP="00700A8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00A81" w:rsidRDefault="00700A81" w:rsidP="00700A81">
      <w:pPr>
        <w:rPr>
          <w:rFonts w:hint="eastAsia"/>
        </w:rPr>
      </w:pPr>
      <w:r>
        <w:separator/>
      </w:r>
    </w:p>
  </w:footnote>
  <w:footnote w:type="continuationSeparator" w:id="0">
    <w:p w:rsidR="00700A81" w:rsidRDefault="00700A81" w:rsidP="00700A8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00A81"/>
    <w:rsid w:val="00700A81"/>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00A81"/>
    <w:pPr>
      <w:tabs>
        <w:tab w:val="center" w:pos="4153"/>
        <w:tab w:val="right" w:pos="8306"/>
      </w:tabs>
      <w:snapToGrid w:val="0"/>
      <w:jc w:val="center"/>
    </w:pPr>
    <w:rPr>
      <w:sz w:val="18"/>
      <w:szCs w:val="18"/>
    </w:rPr>
  </w:style>
  <w:style w:type="character" w:customStyle="1" w:styleId="a5">
    <w:name w:val="页眉 字符"/>
    <w:basedOn w:val="a0"/>
    <w:link w:val="a4"/>
    <w:uiPriority w:val="99"/>
    <w:rsid w:val="00700A81"/>
    <w:rPr>
      <w:rFonts w:ascii="宋体" w:eastAsia="宋体" w:hAnsi="宋体" w:cs="宋体"/>
      <w:sz w:val="18"/>
      <w:szCs w:val="18"/>
    </w:rPr>
  </w:style>
  <w:style w:type="paragraph" w:styleId="a6">
    <w:name w:val="footer"/>
    <w:basedOn w:val="a"/>
    <w:link w:val="a7"/>
    <w:uiPriority w:val="99"/>
    <w:unhideWhenUsed/>
    <w:rsid w:val="00700A81"/>
    <w:pPr>
      <w:tabs>
        <w:tab w:val="center" w:pos="4153"/>
        <w:tab w:val="right" w:pos="8306"/>
      </w:tabs>
      <w:snapToGrid w:val="0"/>
    </w:pPr>
    <w:rPr>
      <w:sz w:val="18"/>
      <w:szCs w:val="18"/>
    </w:rPr>
  </w:style>
  <w:style w:type="character" w:customStyle="1" w:styleId="a7">
    <w:name w:val="页脚 字符"/>
    <w:basedOn w:val="a0"/>
    <w:link w:val="a6"/>
    <w:uiPriority w:val="99"/>
    <w:rsid w:val="00700A8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07532">
      <w:marLeft w:val="0"/>
      <w:marRight w:val="0"/>
      <w:marTop w:val="10"/>
      <w:marBottom w:val="10"/>
      <w:divBdr>
        <w:top w:val="none" w:sz="0" w:space="0" w:color="auto"/>
        <w:left w:val="none" w:sz="0" w:space="0" w:color="auto"/>
        <w:bottom w:val="none" w:sz="0" w:space="0" w:color="auto"/>
        <w:right w:val="none" w:sz="0" w:space="0" w:color="auto"/>
      </w:divBdr>
    </w:div>
    <w:div w:id="227352120">
      <w:marLeft w:val="0"/>
      <w:marRight w:val="0"/>
      <w:marTop w:val="10"/>
      <w:marBottom w:val="10"/>
      <w:divBdr>
        <w:top w:val="none" w:sz="0" w:space="0" w:color="auto"/>
        <w:left w:val="none" w:sz="0" w:space="0" w:color="auto"/>
        <w:bottom w:val="none" w:sz="0" w:space="0" w:color="auto"/>
        <w:right w:val="none" w:sz="0" w:space="0" w:color="auto"/>
      </w:divBdr>
    </w:div>
    <w:div w:id="263267165">
      <w:marLeft w:val="0"/>
      <w:marRight w:val="0"/>
      <w:marTop w:val="10"/>
      <w:marBottom w:val="10"/>
      <w:divBdr>
        <w:top w:val="none" w:sz="0" w:space="0" w:color="auto"/>
        <w:left w:val="none" w:sz="0" w:space="0" w:color="auto"/>
        <w:bottom w:val="none" w:sz="0" w:space="0" w:color="auto"/>
        <w:right w:val="none" w:sz="0" w:space="0" w:color="auto"/>
      </w:divBdr>
    </w:div>
    <w:div w:id="522285140">
      <w:marLeft w:val="0"/>
      <w:marRight w:val="720"/>
      <w:marTop w:val="10"/>
      <w:marBottom w:val="10"/>
      <w:divBdr>
        <w:top w:val="none" w:sz="0" w:space="0" w:color="auto"/>
        <w:left w:val="none" w:sz="0" w:space="0" w:color="auto"/>
        <w:bottom w:val="none" w:sz="0" w:space="0" w:color="auto"/>
        <w:right w:val="none" w:sz="0" w:space="0" w:color="auto"/>
      </w:divBdr>
    </w:div>
    <w:div w:id="727413464">
      <w:marLeft w:val="0"/>
      <w:marRight w:val="0"/>
      <w:marTop w:val="10"/>
      <w:marBottom w:val="10"/>
      <w:divBdr>
        <w:top w:val="none" w:sz="0" w:space="0" w:color="auto"/>
        <w:left w:val="none" w:sz="0" w:space="0" w:color="auto"/>
        <w:bottom w:val="none" w:sz="0" w:space="0" w:color="auto"/>
        <w:right w:val="none" w:sz="0" w:space="0" w:color="auto"/>
      </w:divBdr>
    </w:div>
    <w:div w:id="838158480">
      <w:marLeft w:val="0"/>
      <w:marRight w:val="0"/>
      <w:marTop w:val="10"/>
      <w:marBottom w:val="10"/>
      <w:divBdr>
        <w:top w:val="none" w:sz="0" w:space="0" w:color="auto"/>
        <w:left w:val="none" w:sz="0" w:space="0" w:color="auto"/>
        <w:bottom w:val="none" w:sz="0" w:space="0" w:color="auto"/>
        <w:right w:val="none" w:sz="0" w:space="0" w:color="auto"/>
      </w:divBdr>
    </w:div>
    <w:div w:id="901019614">
      <w:marLeft w:val="0"/>
      <w:marRight w:val="720"/>
      <w:marTop w:val="10"/>
      <w:marBottom w:val="10"/>
      <w:divBdr>
        <w:top w:val="none" w:sz="0" w:space="0" w:color="auto"/>
        <w:left w:val="none" w:sz="0" w:space="0" w:color="auto"/>
        <w:bottom w:val="none" w:sz="0" w:space="0" w:color="auto"/>
        <w:right w:val="none" w:sz="0" w:space="0" w:color="auto"/>
      </w:divBdr>
    </w:div>
    <w:div w:id="1019701362">
      <w:marLeft w:val="0"/>
      <w:marRight w:val="0"/>
      <w:marTop w:val="10"/>
      <w:marBottom w:val="10"/>
      <w:divBdr>
        <w:top w:val="none" w:sz="0" w:space="0" w:color="auto"/>
        <w:left w:val="none" w:sz="0" w:space="0" w:color="auto"/>
        <w:bottom w:val="none" w:sz="0" w:space="0" w:color="auto"/>
        <w:right w:val="none" w:sz="0" w:space="0" w:color="auto"/>
      </w:divBdr>
    </w:div>
    <w:div w:id="1034771880">
      <w:marLeft w:val="0"/>
      <w:marRight w:val="0"/>
      <w:marTop w:val="10"/>
      <w:marBottom w:val="10"/>
      <w:divBdr>
        <w:top w:val="none" w:sz="0" w:space="0" w:color="auto"/>
        <w:left w:val="none" w:sz="0" w:space="0" w:color="auto"/>
        <w:bottom w:val="none" w:sz="0" w:space="0" w:color="auto"/>
        <w:right w:val="none" w:sz="0" w:space="0" w:color="auto"/>
      </w:divBdr>
    </w:div>
    <w:div w:id="1213496792">
      <w:marLeft w:val="0"/>
      <w:marRight w:val="0"/>
      <w:marTop w:val="10"/>
      <w:marBottom w:val="10"/>
      <w:divBdr>
        <w:top w:val="none" w:sz="0" w:space="0" w:color="auto"/>
        <w:left w:val="none" w:sz="0" w:space="0" w:color="auto"/>
        <w:bottom w:val="none" w:sz="0" w:space="0" w:color="auto"/>
        <w:right w:val="none" w:sz="0" w:space="0" w:color="auto"/>
      </w:divBdr>
    </w:div>
    <w:div w:id="1270773728">
      <w:marLeft w:val="0"/>
      <w:marRight w:val="0"/>
      <w:marTop w:val="10"/>
      <w:marBottom w:val="10"/>
      <w:divBdr>
        <w:top w:val="none" w:sz="0" w:space="0" w:color="auto"/>
        <w:left w:val="none" w:sz="0" w:space="0" w:color="auto"/>
        <w:bottom w:val="none" w:sz="0" w:space="0" w:color="auto"/>
        <w:right w:val="none" w:sz="0" w:space="0" w:color="auto"/>
      </w:divBdr>
    </w:div>
    <w:div w:id="1344241112">
      <w:marLeft w:val="0"/>
      <w:marRight w:val="0"/>
      <w:marTop w:val="10"/>
      <w:marBottom w:val="10"/>
      <w:divBdr>
        <w:top w:val="none" w:sz="0" w:space="0" w:color="auto"/>
        <w:left w:val="none" w:sz="0" w:space="0" w:color="auto"/>
        <w:bottom w:val="none" w:sz="0" w:space="0" w:color="auto"/>
        <w:right w:val="none" w:sz="0" w:space="0" w:color="auto"/>
      </w:divBdr>
    </w:div>
    <w:div w:id="1460798774">
      <w:marLeft w:val="0"/>
      <w:marRight w:val="720"/>
      <w:marTop w:val="10"/>
      <w:marBottom w:val="10"/>
      <w:divBdr>
        <w:top w:val="none" w:sz="0" w:space="0" w:color="auto"/>
        <w:left w:val="none" w:sz="0" w:space="0" w:color="auto"/>
        <w:bottom w:val="none" w:sz="0" w:space="0" w:color="auto"/>
        <w:right w:val="none" w:sz="0" w:space="0" w:color="auto"/>
      </w:divBdr>
    </w:div>
    <w:div w:id="1647590826">
      <w:marLeft w:val="0"/>
      <w:marRight w:val="0"/>
      <w:marTop w:val="10"/>
      <w:marBottom w:val="10"/>
      <w:divBdr>
        <w:top w:val="none" w:sz="0" w:space="0" w:color="auto"/>
        <w:left w:val="none" w:sz="0" w:space="0" w:color="auto"/>
        <w:bottom w:val="none" w:sz="0" w:space="0" w:color="auto"/>
        <w:right w:val="none" w:sz="0" w:space="0" w:color="auto"/>
      </w:divBdr>
    </w:div>
    <w:div w:id="1681928937">
      <w:marLeft w:val="0"/>
      <w:marRight w:val="0"/>
      <w:marTop w:val="10"/>
      <w:marBottom w:val="10"/>
      <w:divBdr>
        <w:top w:val="none" w:sz="0" w:space="0" w:color="auto"/>
        <w:left w:val="none" w:sz="0" w:space="0" w:color="auto"/>
        <w:bottom w:val="none" w:sz="0" w:space="0" w:color="auto"/>
        <w:right w:val="none" w:sz="0" w:space="0" w:color="auto"/>
      </w:divBdr>
    </w:div>
    <w:div w:id="1700544512">
      <w:marLeft w:val="0"/>
      <w:marRight w:val="0"/>
      <w:marTop w:val="10"/>
      <w:marBottom w:val="10"/>
      <w:divBdr>
        <w:top w:val="none" w:sz="0" w:space="0" w:color="auto"/>
        <w:left w:val="none" w:sz="0" w:space="0" w:color="auto"/>
        <w:bottom w:val="none" w:sz="0" w:space="0" w:color="auto"/>
        <w:right w:val="none" w:sz="0" w:space="0" w:color="auto"/>
      </w:divBdr>
    </w:div>
    <w:div w:id="1734235101">
      <w:marLeft w:val="0"/>
      <w:marRight w:val="0"/>
      <w:marTop w:val="10"/>
      <w:marBottom w:val="10"/>
      <w:divBdr>
        <w:top w:val="none" w:sz="0" w:space="0" w:color="auto"/>
        <w:left w:val="none" w:sz="0" w:space="0" w:color="auto"/>
        <w:bottom w:val="none" w:sz="0" w:space="0" w:color="auto"/>
        <w:right w:val="none" w:sz="0" w:space="0" w:color="auto"/>
      </w:divBdr>
    </w:div>
    <w:div w:id="1948737248">
      <w:marLeft w:val="0"/>
      <w:marRight w:val="720"/>
      <w:marTop w:val="10"/>
      <w:marBottom w:val="10"/>
      <w:divBdr>
        <w:top w:val="none" w:sz="0" w:space="0" w:color="auto"/>
        <w:left w:val="none" w:sz="0" w:space="0" w:color="auto"/>
        <w:bottom w:val="none" w:sz="0" w:space="0" w:color="auto"/>
        <w:right w:val="none" w:sz="0" w:space="0" w:color="auto"/>
      </w:divBdr>
    </w:div>
    <w:div w:id="1962371674">
      <w:marLeft w:val="0"/>
      <w:marRight w:val="720"/>
      <w:marTop w:val="10"/>
      <w:marBottom w:val="10"/>
      <w:divBdr>
        <w:top w:val="none" w:sz="0" w:space="0" w:color="auto"/>
        <w:left w:val="none" w:sz="0" w:space="0" w:color="auto"/>
        <w:bottom w:val="none" w:sz="0" w:space="0" w:color="auto"/>
        <w:right w:val="none" w:sz="0" w:space="0" w:color="auto"/>
      </w:divBdr>
    </w:div>
    <w:div w:id="2033602648">
      <w:marLeft w:val="0"/>
      <w:marRight w:val="0"/>
      <w:marTop w:val="10"/>
      <w:marBottom w:val="10"/>
      <w:divBdr>
        <w:top w:val="none" w:sz="0" w:space="0" w:color="auto"/>
        <w:left w:val="none" w:sz="0" w:space="0" w:color="auto"/>
        <w:bottom w:val="none" w:sz="0" w:space="0" w:color="auto"/>
        <w:right w:val="none" w:sz="0" w:space="0" w:color="auto"/>
      </w:divBdr>
    </w:div>
    <w:div w:id="211937107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275</Words>
  <Characters>1573</Characters>
  <Application>Microsoft Office Word</Application>
  <DocSecurity>0</DocSecurity>
  <Lines>13</Lines>
  <Paragraphs>3</Paragraphs>
  <ScaleCrop>false</ScaleCrop>
  <Company/>
  <LinksUpToDate>false</LinksUpToDate>
  <CharactersWithSpaces>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