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4572" w:rsidRDefault="006B4572">
      <w:pPr>
        <w:spacing w:line="500" w:lineRule="atLeast"/>
        <w:ind w:firstLine="600"/>
        <w:divId w:val="1726030350"/>
        <w:rPr>
          <w:sz w:val="30"/>
          <w:szCs w:val="30"/>
        </w:rPr>
      </w:pPr>
      <w:r>
        <w:rPr>
          <w:rFonts w:hint="eastAsia"/>
          <w:sz w:val="30"/>
          <w:szCs w:val="30"/>
        </w:rPr>
        <w:t> </w:t>
      </w:r>
    </w:p>
    <w:p w:rsidR="006B4572" w:rsidRDefault="006B4572">
      <w:pPr>
        <w:spacing w:line="500" w:lineRule="atLeast"/>
        <w:jc w:val="center"/>
        <w:divId w:val="16007137"/>
        <w:rPr>
          <w:rFonts w:ascii="黑体" w:eastAsia="黑体" w:hAnsi="黑体" w:hint="eastAsia"/>
          <w:sz w:val="36"/>
          <w:szCs w:val="36"/>
        </w:rPr>
      </w:pPr>
      <w:r>
        <w:rPr>
          <w:rFonts w:ascii="黑体" w:eastAsia="黑体" w:hAnsi="黑体" w:hint="eastAsia"/>
          <w:sz w:val="36"/>
          <w:szCs w:val="36"/>
        </w:rPr>
        <w:t>深圳市罗湖区人民法院</w:t>
      </w:r>
    </w:p>
    <w:p w:rsidR="006B4572" w:rsidRDefault="006B4572">
      <w:pPr>
        <w:spacing w:line="500" w:lineRule="atLeast"/>
        <w:jc w:val="center"/>
        <w:divId w:val="7825779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B4572" w:rsidRDefault="006B4572">
      <w:pPr>
        <w:spacing w:line="500" w:lineRule="atLeast"/>
        <w:jc w:val="right"/>
        <w:divId w:val="158807834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31</w:t>
      </w:r>
      <w:r>
        <w:rPr>
          <w:rFonts w:hint="eastAsia"/>
          <w:sz w:val="30"/>
          <w:szCs w:val="30"/>
        </w:rPr>
        <w:t>号</w:t>
      </w:r>
    </w:p>
    <w:p w:rsidR="006B4572" w:rsidRDefault="006B4572">
      <w:pPr>
        <w:spacing w:line="500" w:lineRule="atLeast"/>
        <w:ind w:firstLine="600"/>
        <w:divId w:val="1319380256"/>
        <w:rPr>
          <w:rFonts w:hint="eastAsia"/>
          <w:sz w:val="30"/>
          <w:szCs w:val="30"/>
        </w:rPr>
      </w:pPr>
      <w:r>
        <w:rPr>
          <w:rFonts w:hint="eastAsia"/>
          <w:sz w:val="30"/>
          <w:szCs w:val="30"/>
        </w:rPr>
        <w:t>公诉机关深圳市罗湖区人民检察院。</w:t>
      </w:r>
    </w:p>
    <w:p w:rsidR="006B4572" w:rsidRDefault="006B4572">
      <w:pPr>
        <w:spacing w:line="500" w:lineRule="atLeast"/>
        <w:ind w:firstLine="600"/>
        <w:divId w:val="1434593380"/>
        <w:rPr>
          <w:rFonts w:hint="eastAsia"/>
          <w:sz w:val="30"/>
          <w:szCs w:val="30"/>
        </w:rPr>
      </w:pPr>
      <w:r>
        <w:rPr>
          <w:rFonts w:hint="eastAsia"/>
          <w:sz w:val="30"/>
          <w:szCs w:val="30"/>
        </w:rPr>
        <w:t>被告人郑朝敏，男，深圳市市场和质量监督管理委员会龙岗市场监督管理局平南所三级执法员、执法一队队长，户籍所在地深圳市龙岗区，住深圳市龙岗区。因本案，</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日被逮捕。</w:t>
      </w:r>
    </w:p>
    <w:p w:rsidR="006B4572" w:rsidRDefault="006B4572">
      <w:pPr>
        <w:spacing w:line="500" w:lineRule="atLeast"/>
        <w:ind w:firstLine="600"/>
        <w:divId w:val="256595392"/>
        <w:rPr>
          <w:rFonts w:hint="eastAsia"/>
          <w:sz w:val="30"/>
          <w:szCs w:val="30"/>
        </w:rPr>
      </w:pPr>
      <w:r>
        <w:rPr>
          <w:rFonts w:hint="eastAsia"/>
          <w:sz w:val="30"/>
          <w:szCs w:val="30"/>
        </w:rPr>
        <w:t>辩护人廖锦榕，广东丰达鼎律师事务所律师。</w:t>
      </w:r>
    </w:p>
    <w:p w:rsidR="006B4572" w:rsidRDefault="006B4572">
      <w:pPr>
        <w:spacing w:line="500" w:lineRule="atLeast"/>
        <w:ind w:firstLine="600"/>
        <w:divId w:val="969628624"/>
        <w:rPr>
          <w:rFonts w:hint="eastAsia"/>
          <w:sz w:val="30"/>
          <w:szCs w:val="30"/>
        </w:rPr>
      </w:pPr>
      <w:r>
        <w:rPr>
          <w:rFonts w:hint="eastAsia"/>
          <w:sz w:val="30"/>
          <w:szCs w:val="30"/>
        </w:rPr>
        <w:t>深圳市罗湖区人民检察院以深罗检刑诉</w:t>
      </w:r>
      <w:r>
        <w:rPr>
          <w:rFonts w:hint="eastAsia"/>
          <w:sz w:val="30"/>
          <w:szCs w:val="30"/>
        </w:rPr>
        <w:t>[2017]2855</w:t>
      </w:r>
      <w:r>
        <w:rPr>
          <w:rFonts w:hint="eastAsia"/>
          <w:sz w:val="30"/>
          <w:szCs w:val="30"/>
        </w:rPr>
        <w:t>号起诉书指控被告人郑朝敏犯食品监管渎职罪、受贿罪，于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日向本院提起公诉。本院依法组成合议庭，公开开庭审理了本案。深圳市罗湖区人民检察院指派检察员刘炜烽出庭支持公诉，被告人郑朝敏及其辩护人到庭参加诉讼。现已审理终结。</w:t>
      </w:r>
    </w:p>
    <w:p w:rsidR="006B4572" w:rsidRDefault="006B4572">
      <w:pPr>
        <w:spacing w:line="500" w:lineRule="atLeast"/>
        <w:divId w:val="1573274692"/>
        <w:rPr>
          <w:rFonts w:hint="eastAsia"/>
          <w:sz w:val="30"/>
          <w:szCs w:val="30"/>
        </w:rPr>
      </w:pPr>
      <w:r>
        <w:rPr>
          <w:rFonts w:hint="eastAsia"/>
          <w:sz w:val="30"/>
          <w:szCs w:val="30"/>
        </w:rPr>
        <w:t>深圳市罗湖区人民检察院指控：</w:t>
      </w:r>
    </w:p>
    <w:p w:rsidR="006B4572" w:rsidRDefault="006B4572">
      <w:pPr>
        <w:spacing w:line="500" w:lineRule="atLeast"/>
        <w:ind w:firstLine="600"/>
        <w:divId w:val="96416410"/>
        <w:rPr>
          <w:rFonts w:hint="eastAsia"/>
          <w:sz w:val="30"/>
          <w:szCs w:val="30"/>
        </w:rPr>
      </w:pPr>
      <w:r>
        <w:rPr>
          <w:rFonts w:hint="eastAsia"/>
          <w:sz w:val="30"/>
          <w:szCs w:val="30"/>
        </w:rPr>
        <w:t>被告人郑朝敏系深圳市市场和质量监督管理委员会龙岗市场监督管理局平南所（以下简称“平南所”）三级执法员、执法一队队长，负有辖区内食品安全监督管理、商品交易市场违法经营行为查处、制售假冒伪劣商品及经营无合法来源商品违法行为查处、消费申诉举报处理等职责。</w:t>
      </w:r>
    </w:p>
    <w:p w:rsidR="006B4572" w:rsidRDefault="006B4572">
      <w:pPr>
        <w:spacing w:line="500" w:lineRule="atLeast"/>
        <w:ind w:firstLine="600"/>
        <w:divId w:val="112245453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月中旬，</w:t>
      </w:r>
      <w:r>
        <w:rPr>
          <w:rFonts w:hint="eastAsia"/>
          <w:sz w:val="30"/>
          <w:szCs w:val="30"/>
        </w:rPr>
        <w:t>12315</w:t>
      </w:r>
      <w:r>
        <w:rPr>
          <w:rFonts w:hint="eastAsia"/>
          <w:sz w:val="30"/>
          <w:szCs w:val="30"/>
        </w:rPr>
        <w:t>平台接到群众举报称本市龙岗区平湖镇顺平农贸市场四楼“平湖悦来粤好火锅食材经营部”（以下简称“悦来粤好经营部”）涉嫌无照加工牛百叶。由于被举报地点属于平南所管辖范围，平南所主管申诉举报系统日常处理的负责人犯罪嫌疑人陈某翔（另案处理）将该举报交予</w:t>
      </w:r>
      <w:r>
        <w:rPr>
          <w:rFonts w:hint="eastAsia"/>
          <w:sz w:val="30"/>
          <w:szCs w:val="30"/>
        </w:rPr>
        <w:lastRenderedPageBreak/>
        <w:t>执法一队核实处理。同年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告人郑朝敏带领执法队队员犯罪嫌疑人丘某航、郭某辉（二人均另案处理）来到被举报地点进行检查。三人在检查中发现，该处为生产水发牛百叶、牛黄喉等火锅食材的加工车间、生产车间中摆放着多个泡发着牛百叶的塑料大桶、大量用印有</w:t>
      </w:r>
      <w:r>
        <w:rPr>
          <w:rFonts w:hint="eastAsia"/>
          <w:sz w:val="30"/>
          <w:szCs w:val="30"/>
        </w:rPr>
        <w:t>QS</w:t>
      </w:r>
      <w:r>
        <w:rPr>
          <w:rFonts w:hint="eastAsia"/>
          <w:sz w:val="30"/>
          <w:szCs w:val="30"/>
        </w:rPr>
        <w:t>食品生产许可证标志的包装袋包装好的牛百叶成品以及尚未加工的、包装上没有中文标签的进口牛百叶原料。被告人郑朝敏安排犯罪嫌疑人丘某航拍照取证，并让现场工作人员提供营业执照、进货凭证及相关检验检疫证明等材料进行检查。不久，现场工作人员向被告人郑朝敏出示了该经营部营业执照和部分其他国产原料进货凭证的复印件，但称无法提供进口原料的检验检疫证明。期间，被告人郑朝敏接到悦来粤好经营部大股东袁某龙的朋友姚某的电话，姚某在询问检查情况的同时转达了袁某龙想请其吃饭的邀约。在此情况下，被告人郑朝敏明知悦来粤好经营部存在使用来</w:t>
      </w:r>
      <w:r>
        <w:rPr>
          <w:rFonts w:hint="eastAsia"/>
          <w:sz w:val="30"/>
          <w:szCs w:val="30"/>
        </w:rPr>
        <w:t>源不明的进口原料进行生产经营、未经食品生产许可擅自生产加工食品及使用食品生产许可证标志</w:t>
      </w:r>
      <w:r>
        <w:rPr>
          <w:rFonts w:hint="eastAsia"/>
          <w:sz w:val="30"/>
          <w:szCs w:val="30"/>
        </w:rPr>
        <w:t>(QS)</w:t>
      </w:r>
      <w:r>
        <w:rPr>
          <w:rFonts w:hint="eastAsia"/>
          <w:sz w:val="30"/>
          <w:szCs w:val="30"/>
        </w:rPr>
        <w:t>等严重食品安全问题，却未按照《平南所机构设置与岗位职责》《食品药品监管总局关于食用农产品市场销售质量安全监督管理有关问题》等相关规定要求工作人员提供相关生产加工资质材料的原件及食品生产许可证、进口原料检验检疫证明，未将营业执照等材料与现场实际生产情况进行核对，亦未对已经发现的可疑牛百叶原料进行封存及取样检测，仅对已有材料进行简单查看后跟随工作人员来到悦来粤好经营部股东袁某龙的办公室喝茶聊天，随后结束检查。</w:t>
      </w:r>
    </w:p>
    <w:p w:rsidR="006B4572" w:rsidRDefault="006B4572">
      <w:pPr>
        <w:spacing w:line="500" w:lineRule="atLeast"/>
        <w:ind w:firstLine="600"/>
        <w:divId w:val="524053027"/>
        <w:rPr>
          <w:rFonts w:hint="eastAsia"/>
          <w:sz w:val="30"/>
          <w:szCs w:val="30"/>
        </w:rPr>
      </w:pPr>
      <w:r>
        <w:rPr>
          <w:rFonts w:hint="eastAsia"/>
          <w:sz w:val="30"/>
          <w:szCs w:val="30"/>
        </w:rPr>
        <w:t>同年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日，被告人郑朝敏通过微信联系姚某，让姚某告知袁某龙准备两个人民币</w:t>
      </w:r>
      <w:r>
        <w:rPr>
          <w:rFonts w:hint="eastAsia"/>
          <w:sz w:val="30"/>
          <w:szCs w:val="30"/>
        </w:rPr>
        <w:t>3000</w:t>
      </w:r>
      <w:r>
        <w:rPr>
          <w:rFonts w:hint="eastAsia"/>
          <w:sz w:val="30"/>
          <w:szCs w:val="30"/>
        </w:rPr>
        <w:t>元的红包，用于送给当天参与检查的执法队员犯罪嫌疑人丘某航、郭某辉，并要求姚某向袁某龙转达，不要再用走私进口牛百叶原料生产加工，否则如果被检测出违禁成分，处罚会很重。同年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日，袁某龙将人民币</w:t>
      </w:r>
      <w:r>
        <w:rPr>
          <w:rFonts w:hint="eastAsia"/>
          <w:sz w:val="30"/>
          <w:szCs w:val="30"/>
        </w:rPr>
        <w:t>11000</w:t>
      </w:r>
      <w:r>
        <w:rPr>
          <w:rFonts w:hint="eastAsia"/>
          <w:sz w:val="30"/>
          <w:szCs w:val="30"/>
        </w:rPr>
        <w:t>元分成三个“红包”（其中两个分别装有人民币</w:t>
      </w:r>
      <w:r>
        <w:rPr>
          <w:rFonts w:hint="eastAsia"/>
          <w:sz w:val="30"/>
          <w:szCs w:val="30"/>
        </w:rPr>
        <w:t>3000</w:t>
      </w:r>
      <w:r>
        <w:rPr>
          <w:rFonts w:hint="eastAsia"/>
          <w:sz w:val="30"/>
          <w:szCs w:val="30"/>
        </w:rPr>
        <w:t>元，—个装有人民币</w:t>
      </w:r>
      <w:r>
        <w:rPr>
          <w:rFonts w:hint="eastAsia"/>
          <w:sz w:val="30"/>
          <w:szCs w:val="30"/>
        </w:rPr>
        <w:t>5000</w:t>
      </w:r>
      <w:r>
        <w:rPr>
          <w:rFonts w:hint="eastAsia"/>
          <w:sz w:val="30"/>
          <w:szCs w:val="30"/>
        </w:rPr>
        <w:t>元）通过姚某送给被告人郑朝敏。被告人郑朝敏全额收受并通过微信分别向犯罪嫌疑人丘某航、郭某辉转账人民币</w:t>
      </w:r>
      <w:r>
        <w:rPr>
          <w:rFonts w:hint="eastAsia"/>
          <w:sz w:val="30"/>
          <w:szCs w:val="30"/>
        </w:rPr>
        <w:t>2000</w:t>
      </w:r>
      <w:r>
        <w:rPr>
          <w:rFonts w:hint="eastAsia"/>
          <w:sz w:val="30"/>
          <w:szCs w:val="30"/>
        </w:rPr>
        <w:t>元。</w:t>
      </w:r>
    </w:p>
    <w:p w:rsidR="006B4572" w:rsidRDefault="006B4572">
      <w:pPr>
        <w:spacing w:line="500" w:lineRule="atLeast"/>
        <w:ind w:firstLine="600"/>
        <w:divId w:val="1989280753"/>
        <w:rPr>
          <w:rFonts w:hint="eastAsia"/>
          <w:sz w:val="30"/>
          <w:szCs w:val="30"/>
        </w:rPr>
      </w:pPr>
      <w:r>
        <w:rPr>
          <w:rFonts w:hint="eastAsia"/>
          <w:sz w:val="30"/>
          <w:szCs w:val="30"/>
        </w:rPr>
        <w:t>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告人郑朝敏指示犯罪嫌疑人郭某辉在申诉举报系统上以“查实该加工点已办营业执照，为食材冷冻库”的结论对相关举报作出结案处理，并流转给平南所负责人犯罪嫌疑人陈某翔进行审核。犯罪嫌疑人陈某翔违反审批流程，在未调取现场检查材料核实的情况下，同意办结举报。</w:t>
      </w:r>
    </w:p>
    <w:p w:rsidR="006B4572" w:rsidRDefault="006B4572">
      <w:pPr>
        <w:spacing w:line="500" w:lineRule="atLeast"/>
        <w:ind w:firstLine="600"/>
        <w:divId w:val="981546652"/>
        <w:rPr>
          <w:rFonts w:hint="eastAsia"/>
          <w:sz w:val="30"/>
          <w:szCs w:val="30"/>
        </w:rPr>
      </w:pPr>
      <w:r>
        <w:rPr>
          <w:rFonts w:hint="eastAsia"/>
          <w:sz w:val="30"/>
          <w:szCs w:val="30"/>
        </w:rPr>
        <w:t>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日，公安机关办案民警在本市龙岗区平湖镇顺平市场将犯罪嫌疑人张某辉、周某、杨某道（另案处理）等人抓获。办案民警在一楼、四楼的冻库内查获牛百叶原材料约</w:t>
      </w:r>
      <w:r>
        <w:rPr>
          <w:rFonts w:hint="eastAsia"/>
          <w:sz w:val="30"/>
          <w:szCs w:val="30"/>
        </w:rPr>
        <w:t>9300</w:t>
      </w:r>
      <w:r>
        <w:rPr>
          <w:rFonts w:hint="eastAsia"/>
          <w:sz w:val="30"/>
          <w:szCs w:val="30"/>
        </w:rPr>
        <w:t>公斤、牛百叶成品约</w:t>
      </w:r>
      <w:r>
        <w:rPr>
          <w:rFonts w:hint="eastAsia"/>
          <w:sz w:val="30"/>
          <w:szCs w:val="30"/>
        </w:rPr>
        <w:t>15500</w:t>
      </w:r>
      <w:r>
        <w:rPr>
          <w:rFonts w:hint="eastAsia"/>
          <w:sz w:val="30"/>
          <w:szCs w:val="30"/>
        </w:rPr>
        <w:t>公斤。在四楼生产车间内查获牛百叶半成品约</w:t>
      </w:r>
      <w:r>
        <w:rPr>
          <w:rFonts w:hint="eastAsia"/>
          <w:sz w:val="30"/>
          <w:szCs w:val="30"/>
        </w:rPr>
        <w:t>1320</w:t>
      </w:r>
      <w:r>
        <w:rPr>
          <w:rFonts w:hint="eastAsia"/>
          <w:sz w:val="30"/>
          <w:szCs w:val="30"/>
        </w:rPr>
        <w:t>公斤；来路不明的氢氧化钠</w:t>
      </w:r>
      <w:r>
        <w:rPr>
          <w:rFonts w:hint="eastAsia"/>
          <w:sz w:val="30"/>
          <w:szCs w:val="30"/>
        </w:rPr>
        <w:t>1425</w:t>
      </w:r>
      <w:r>
        <w:rPr>
          <w:rFonts w:hint="eastAsia"/>
          <w:sz w:val="30"/>
          <w:szCs w:val="30"/>
        </w:rPr>
        <w:t>公斤、过氧化氢</w:t>
      </w:r>
      <w:r>
        <w:rPr>
          <w:rFonts w:hint="eastAsia"/>
          <w:sz w:val="30"/>
          <w:szCs w:val="30"/>
        </w:rPr>
        <w:t>950</w:t>
      </w:r>
      <w:r>
        <w:rPr>
          <w:rFonts w:hint="eastAsia"/>
          <w:sz w:val="30"/>
          <w:szCs w:val="30"/>
        </w:rPr>
        <w:t>公斤。经深圳市计量质量检测研究院检测，上述所收缴的牛百叶、牛喉、猪喉半成品、成品当中均检出超范围添加了过氧化氢、</w:t>
      </w:r>
      <w:r>
        <w:rPr>
          <w:rFonts w:hint="eastAsia"/>
          <w:sz w:val="30"/>
          <w:szCs w:val="30"/>
        </w:rPr>
        <w:t>PH</w:t>
      </w:r>
      <w:r>
        <w:rPr>
          <w:rFonts w:hint="eastAsia"/>
          <w:sz w:val="30"/>
          <w:szCs w:val="30"/>
        </w:rPr>
        <w:t>值大部分</w:t>
      </w:r>
      <w:r>
        <w:rPr>
          <w:rFonts w:hint="eastAsia"/>
          <w:sz w:val="30"/>
          <w:szCs w:val="30"/>
        </w:rPr>
        <w:t>10</w:t>
      </w:r>
      <w:r>
        <w:rPr>
          <w:rFonts w:hint="eastAsia"/>
          <w:sz w:val="30"/>
          <w:szCs w:val="30"/>
        </w:rPr>
        <w:t>至</w:t>
      </w:r>
      <w:r>
        <w:rPr>
          <w:rFonts w:hint="eastAsia"/>
          <w:sz w:val="30"/>
          <w:szCs w:val="30"/>
        </w:rPr>
        <w:t>11</w:t>
      </w:r>
      <w:r>
        <w:rPr>
          <w:rFonts w:hint="eastAsia"/>
          <w:sz w:val="30"/>
          <w:szCs w:val="30"/>
        </w:rPr>
        <w:t>；另外，在冷库缴获的</w:t>
      </w:r>
      <w:r>
        <w:rPr>
          <w:rFonts w:hint="eastAsia"/>
          <w:sz w:val="30"/>
          <w:szCs w:val="30"/>
        </w:rPr>
        <w:t>6853</w:t>
      </w:r>
      <w:r>
        <w:rPr>
          <w:rFonts w:hint="eastAsia"/>
          <w:sz w:val="30"/>
          <w:szCs w:val="30"/>
        </w:rPr>
        <w:t>公斤牛百叶原料、</w:t>
      </w:r>
      <w:r>
        <w:rPr>
          <w:rFonts w:hint="eastAsia"/>
          <w:sz w:val="30"/>
          <w:szCs w:val="30"/>
        </w:rPr>
        <w:t>60</w:t>
      </w:r>
      <w:r>
        <w:rPr>
          <w:rFonts w:hint="eastAsia"/>
          <w:sz w:val="30"/>
          <w:szCs w:val="30"/>
        </w:rPr>
        <w:t>公斤的牛百叶成品中均检出莱克巴胺成分。经统计，从今年初至</w:t>
      </w:r>
      <w:r>
        <w:rPr>
          <w:rFonts w:hint="eastAsia"/>
          <w:sz w:val="30"/>
          <w:szCs w:val="30"/>
        </w:rPr>
        <w:t>3</w:t>
      </w:r>
      <w:r>
        <w:rPr>
          <w:rFonts w:hint="eastAsia"/>
          <w:sz w:val="30"/>
          <w:szCs w:val="30"/>
        </w:rPr>
        <w:t>月</w:t>
      </w:r>
      <w:r>
        <w:rPr>
          <w:rFonts w:hint="eastAsia"/>
          <w:sz w:val="30"/>
          <w:szCs w:val="30"/>
        </w:rPr>
        <w:t>17</w:t>
      </w:r>
      <w:r>
        <w:rPr>
          <w:rFonts w:hint="eastAsia"/>
          <w:sz w:val="30"/>
          <w:szCs w:val="30"/>
        </w:rPr>
        <w:t>日，悦来粤好火锅食材经营部的销售额人民币</w:t>
      </w:r>
      <w:r>
        <w:rPr>
          <w:rFonts w:hint="eastAsia"/>
          <w:sz w:val="30"/>
          <w:szCs w:val="30"/>
        </w:rPr>
        <w:t>750</w:t>
      </w:r>
      <w:r>
        <w:rPr>
          <w:rFonts w:hint="eastAsia"/>
          <w:sz w:val="30"/>
          <w:szCs w:val="30"/>
        </w:rPr>
        <w:t>余万元。另查明，上述有毒、有害食品的销售网点遍布深圳市各区批发市场，严重危害人民群众的身体健康。该案经南方都市报、深圳晚报等主流新闻媒体报道后，引起人民群众极大的恐慌，造成极其恶劣的社会影响。</w:t>
      </w:r>
    </w:p>
    <w:p w:rsidR="006B4572" w:rsidRDefault="006B4572">
      <w:pPr>
        <w:spacing w:line="500" w:lineRule="atLeast"/>
        <w:ind w:firstLine="600"/>
        <w:divId w:val="652104421"/>
        <w:rPr>
          <w:rFonts w:hint="eastAsia"/>
          <w:sz w:val="30"/>
          <w:szCs w:val="30"/>
        </w:rPr>
      </w:pPr>
      <w:r>
        <w:rPr>
          <w:rFonts w:hint="eastAsia"/>
          <w:sz w:val="30"/>
          <w:szCs w:val="30"/>
        </w:rPr>
        <w:t>为证明上述事实，公诉机关在法庭上出示或宣读了下列证据：</w:t>
      </w:r>
      <w:r>
        <w:rPr>
          <w:rFonts w:hint="eastAsia"/>
          <w:sz w:val="30"/>
          <w:szCs w:val="30"/>
        </w:rPr>
        <w:t>1.</w:t>
      </w:r>
      <w:r>
        <w:rPr>
          <w:rFonts w:hint="eastAsia"/>
          <w:sz w:val="30"/>
          <w:szCs w:val="30"/>
        </w:rPr>
        <w:t>物证：依法扣押的红包三个；</w:t>
      </w:r>
      <w:r>
        <w:rPr>
          <w:rFonts w:hint="eastAsia"/>
          <w:sz w:val="30"/>
          <w:szCs w:val="30"/>
        </w:rPr>
        <w:t>2.</w:t>
      </w:r>
      <w:r>
        <w:rPr>
          <w:rFonts w:hint="eastAsia"/>
          <w:sz w:val="30"/>
          <w:szCs w:val="30"/>
        </w:rPr>
        <w:t>书证：扣押决定书、扣押清单、深圳市市场和质量监督管理委员会举报记录单、深圳市市场监督管理局龙岗分局基层监管所机构设置规范管理办法等文件、户籍信息、干部任免文件等；</w:t>
      </w:r>
      <w:r>
        <w:rPr>
          <w:rFonts w:hint="eastAsia"/>
          <w:sz w:val="30"/>
          <w:szCs w:val="30"/>
        </w:rPr>
        <w:t>3.</w:t>
      </w:r>
      <w:r>
        <w:rPr>
          <w:rFonts w:hint="eastAsia"/>
          <w:sz w:val="30"/>
          <w:szCs w:val="30"/>
        </w:rPr>
        <w:t>证人证言：证人陈某翔等人的证言、归案经过；</w:t>
      </w:r>
      <w:r>
        <w:rPr>
          <w:rFonts w:hint="eastAsia"/>
          <w:sz w:val="30"/>
          <w:szCs w:val="30"/>
        </w:rPr>
        <w:t>4.</w:t>
      </w:r>
      <w:r>
        <w:rPr>
          <w:rFonts w:hint="eastAsia"/>
          <w:sz w:val="30"/>
          <w:szCs w:val="30"/>
        </w:rPr>
        <w:t>被告人的供述与辩解：被告人郑朝敏的供述与辩解；</w:t>
      </w:r>
      <w:r>
        <w:rPr>
          <w:rFonts w:hint="eastAsia"/>
          <w:sz w:val="30"/>
          <w:szCs w:val="30"/>
        </w:rPr>
        <w:t>5.</w:t>
      </w:r>
      <w:r>
        <w:rPr>
          <w:rFonts w:hint="eastAsia"/>
          <w:sz w:val="30"/>
          <w:szCs w:val="30"/>
        </w:rPr>
        <w:t>电子数据：手机记录等。</w:t>
      </w:r>
    </w:p>
    <w:p w:rsidR="006B4572" w:rsidRDefault="006B4572">
      <w:pPr>
        <w:spacing w:line="500" w:lineRule="atLeast"/>
        <w:ind w:firstLine="600"/>
        <w:divId w:val="726758054"/>
        <w:rPr>
          <w:rFonts w:hint="eastAsia"/>
          <w:sz w:val="30"/>
          <w:szCs w:val="30"/>
        </w:rPr>
      </w:pPr>
      <w:r>
        <w:rPr>
          <w:rFonts w:hint="eastAsia"/>
          <w:sz w:val="30"/>
          <w:szCs w:val="30"/>
        </w:rPr>
        <w:t>公诉机关认为，被告人郑朝敏无视国家法律，身为负有食品安全监督管理职责的国家机关工作人员，滥用职权，造成恶劣社会影响等严重后果，犯罪事实清楚，证据确实充分，应当以食品监管渎职罪追究其刑事责任；被告人郑朝敏无视国家法律，身为国家工作人员，利用职务上的便利，索取他人财物，造成恶劣影响，犯罪事实清楚，证据确实充分，应当以受贿罪追究其刑事责任。被告人郑朝敏如实供述自己的罪行，是坦白，可以从轻处罚。据此，诉请本院依法判处。</w:t>
      </w:r>
    </w:p>
    <w:p w:rsidR="006B4572" w:rsidRDefault="006B4572">
      <w:pPr>
        <w:spacing w:line="500" w:lineRule="atLeast"/>
        <w:ind w:firstLine="600"/>
        <w:divId w:val="47997122"/>
        <w:rPr>
          <w:rFonts w:hint="eastAsia"/>
          <w:sz w:val="30"/>
          <w:szCs w:val="30"/>
        </w:rPr>
      </w:pPr>
      <w:r>
        <w:rPr>
          <w:rFonts w:hint="eastAsia"/>
          <w:sz w:val="30"/>
          <w:szCs w:val="30"/>
        </w:rPr>
        <w:t>被告人郑朝敏对公诉机关指控的上述事实及上述证据基本无异议，承认公诉机关指控的食品监管渎职罪，否认对受贿罪的指控，认为其已在案发前将赃款全部退回，没有使用这些钱款。</w:t>
      </w:r>
    </w:p>
    <w:p w:rsidR="006B4572" w:rsidRDefault="006B4572">
      <w:pPr>
        <w:spacing w:line="500" w:lineRule="atLeast"/>
        <w:ind w:firstLine="600"/>
        <w:divId w:val="568266203"/>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、食品监管渎职罪部分，对公诉机关指控的罪名无异议，被告人主观上没有明显的犯罪故意，客观上没有导致发生重大食品安全事故或造成其他严重后果，请求从轻、减轻处罚。</w:t>
      </w:r>
      <w:r>
        <w:rPr>
          <w:rFonts w:hint="eastAsia"/>
          <w:sz w:val="30"/>
          <w:szCs w:val="30"/>
        </w:rPr>
        <w:t>2</w:t>
      </w:r>
      <w:r>
        <w:rPr>
          <w:rFonts w:hint="eastAsia"/>
          <w:sz w:val="30"/>
          <w:szCs w:val="30"/>
        </w:rPr>
        <w:t>、受贿罪部分，被告人收取财物人民币</w:t>
      </w:r>
      <w:r>
        <w:rPr>
          <w:rFonts w:hint="eastAsia"/>
          <w:sz w:val="30"/>
          <w:szCs w:val="30"/>
        </w:rPr>
        <w:t>11000</w:t>
      </w:r>
      <w:r>
        <w:rPr>
          <w:rFonts w:hint="eastAsia"/>
          <w:sz w:val="30"/>
          <w:szCs w:val="30"/>
        </w:rPr>
        <w:t>元，未达到数额较大标准，犯罪情节较轻，且案发前主动退还赃款，其行为不构成受贿罪。综上，请求对被告人从轻处罚。</w:t>
      </w:r>
    </w:p>
    <w:p w:rsidR="006B4572" w:rsidRDefault="006B4572">
      <w:pPr>
        <w:spacing w:line="500" w:lineRule="atLeast"/>
        <w:ind w:firstLine="600"/>
        <w:divId w:val="379089664"/>
        <w:rPr>
          <w:rFonts w:hint="eastAsia"/>
          <w:sz w:val="30"/>
          <w:szCs w:val="30"/>
        </w:rPr>
      </w:pPr>
      <w:r>
        <w:rPr>
          <w:rFonts w:hint="eastAsia"/>
          <w:sz w:val="30"/>
          <w:szCs w:val="30"/>
        </w:rPr>
        <w:t>经审理查明，公诉机关指控被告人郑朝敏的上述事实客观、真实，证明上述事实的证据来源合法，且经当庭质证，本院予以采信。</w:t>
      </w:r>
    </w:p>
    <w:p w:rsidR="006B4572" w:rsidRDefault="006B4572">
      <w:pPr>
        <w:spacing w:line="500" w:lineRule="atLeast"/>
        <w:ind w:firstLine="600"/>
        <w:divId w:val="2125146510"/>
        <w:rPr>
          <w:rFonts w:hint="eastAsia"/>
          <w:sz w:val="30"/>
          <w:szCs w:val="30"/>
        </w:rPr>
      </w:pPr>
      <w:r>
        <w:rPr>
          <w:rFonts w:hint="eastAsia"/>
          <w:sz w:val="30"/>
          <w:szCs w:val="30"/>
        </w:rPr>
        <w:t>本院认为，被告人郑朝敏身为负有食品安全监督管理职责的国家机关工作人员，滥用职权，造成恶劣社会影响等严重后果，其行为已构成食品监管渎职罪；公诉机关指控被告人郑朝敏犯食品监管渎职罪的事实清楚，证据确实、充分，本院予以支持。对公诉机关指控被告人郑朝敏犯受贿罪的定罪，本院不予支持，本院认为，被告人郑朝敏滥用职权的行为所造成的社会危害性，在食品监管渎职罪中已予评价，其在履职过程中收受人民币</w:t>
      </w:r>
      <w:r>
        <w:rPr>
          <w:rFonts w:hint="eastAsia"/>
          <w:sz w:val="30"/>
          <w:szCs w:val="30"/>
        </w:rPr>
        <w:t>11000</w:t>
      </w:r>
      <w:r>
        <w:rPr>
          <w:rFonts w:hint="eastAsia"/>
          <w:sz w:val="30"/>
          <w:szCs w:val="30"/>
        </w:rPr>
        <w:t>元的行为，未达到受贿罪的追诉标准，也不符合其他较重情节的认定，故被告人的受贿行为不构成犯罪，属于食品监管渎职罪的量刑情节。被告人郑朝敏归案后如实供述自己的罪行，是坦白，依法可以从轻处罚。辩护人认为被告人不构成受贿罪的辩护意见，有事实和法律依据，予以采纳。依照《中华人民共和国刑法》第四百零八条之一、第六十七条第三款、第六十四条之规定，判决如下：</w:t>
      </w:r>
    </w:p>
    <w:p w:rsidR="006B4572" w:rsidRDefault="006B4572">
      <w:pPr>
        <w:spacing w:line="500" w:lineRule="atLeast"/>
        <w:ind w:firstLine="600"/>
        <w:divId w:val="1301307946"/>
        <w:rPr>
          <w:rFonts w:hint="eastAsia"/>
          <w:sz w:val="30"/>
          <w:szCs w:val="30"/>
        </w:rPr>
      </w:pPr>
      <w:r>
        <w:rPr>
          <w:rFonts w:hint="eastAsia"/>
          <w:sz w:val="30"/>
          <w:szCs w:val="30"/>
        </w:rPr>
        <w:t>一、被告人郑朝敏犯食品监管渎职罪，判处有期徒刑一年零两个月。（刑期自判决执行之日起计算。判决执行以前先行羁押的，羁押一日折抵刑期一日；即自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日止。）</w:t>
      </w:r>
    </w:p>
    <w:p w:rsidR="006B4572" w:rsidRDefault="006B4572">
      <w:pPr>
        <w:spacing w:line="500" w:lineRule="atLeast"/>
        <w:ind w:firstLine="600"/>
        <w:divId w:val="441146904"/>
        <w:rPr>
          <w:rFonts w:hint="eastAsia"/>
          <w:sz w:val="30"/>
          <w:szCs w:val="30"/>
        </w:rPr>
      </w:pPr>
      <w:r>
        <w:rPr>
          <w:rFonts w:hint="eastAsia"/>
          <w:sz w:val="30"/>
          <w:szCs w:val="30"/>
        </w:rPr>
        <w:t>二、退还的赃款人民币</w:t>
      </w:r>
      <w:r>
        <w:rPr>
          <w:rFonts w:hint="eastAsia"/>
          <w:sz w:val="30"/>
          <w:szCs w:val="30"/>
        </w:rPr>
        <w:t>11000</w:t>
      </w:r>
      <w:r>
        <w:rPr>
          <w:rFonts w:hint="eastAsia"/>
          <w:sz w:val="30"/>
          <w:szCs w:val="30"/>
        </w:rPr>
        <w:t>元，予以没收，上缴国库。</w:t>
      </w:r>
    </w:p>
    <w:p w:rsidR="006B4572" w:rsidRDefault="006B4572">
      <w:pPr>
        <w:spacing w:line="500" w:lineRule="atLeast"/>
        <w:ind w:firstLine="600"/>
        <w:divId w:val="1603417120"/>
        <w:rPr>
          <w:rFonts w:hint="eastAsia"/>
          <w:sz w:val="30"/>
          <w:szCs w:val="30"/>
        </w:rPr>
      </w:pPr>
      <w:r>
        <w:rPr>
          <w:rFonts w:hint="eastAsia"/>
          <w:sz w:val="30"/>
          <w:szCs w:val="30"/>
        </w:rPr>
        <w:t>如不服本判决，可在接到本判决书的第二日起十日内，通过本院或者直接向深圳市中级人民法院提起上诉。书面上诉的，应当提交上诉状正本一份，副本二份。</w:t>
      </w:r>
    </w:p>
    <w:p w:rsidR="006B4572" w:rsidRDefault="006B4572">
      <w:pPr>
        <w:spacing w:line="500" w:lineRule="atLeast"/>
        <w:jc w:val="right"/>
        <w:divId w:val="1010714272"/>
        <w:rPr>
          <w:rFonts w:hint="eastAsia"/>
          <w:sz w:val="30"/>
          <w:szCs w:val="30"/>
        </w:rPr>
      </w:pPr>
      <w:r>
        <w:rPr>
          <w:rFonts w:hint="eastAsia"/>
          <w:sz w:val="30"/>
          <w:szCs w:val="30"/>
        </w:rPr>
        <w:t>审　判　长　　李少平</w:t>
      </w:r>
    </w:p>
    <w:p w:rsidR="006B4572" w:rsidRDefault="006B4572">
      <w:pPr>
        <w:spacing w:line="500" w:lineRule="atLeast"/>
        <w:jc w:val="right"/>
        <w:divId w:val="354767524"/>
        <w:rPr>
          <w:rFonts w:hint="eastAsia"/>
          <w:sz w:val="30"/>
          <w:szCs w:val="30"/>
        </w:rPr>
      </w:pPr>
      <w:r>
        <w:rPr>
          <w:rFonts w:hint="eastAsia"/>
          <w:sz w:val="30"/>
          <w:szCs w:val="30"/>
        </w:rPr>
        <w:t>人民陪审员　　谢伟波</w:t>
      </w:r>
    </w:p>
    <w:p w:rsidR="006B4572" w:rsidRDefault="006B4572">
      <w:pPr>
        <w:spacing w:line="500" w:lineRule="atLeast"/>
        <w:jc w:val="right"/>
        <w:divId w:val="219245772"/>
        <w:rPr>
          <w:rFonts w:hint="eastAsia"/>
          <w:sz w:val="30"/>
          <w:szCs w:val="30"/>
        </w:rPr>
      </w:pPr>
      <w:r>
        <w:rPr>
          <w:rFonts w:hint="eastAsia"/>
          <w:sz w:val="30"/>
          <w:szCs w:val="30"/>
        </w:rPr>
        <w:t>人民陪审员　　徐之望</w:t>
      </w:r>
    </w:p>
    <w:p w:rsidR="006B4572" w:rsidRDefault="006B4572">
      <w:pPr>
        <w:spacing w:line="500" w:lineRule="atLeast"/>
        <w:jc w:val="right"/>
        <w:divId w:val="2015104505"/>
        <w:rPr>
          <w:rFonts w:hint="eastAsia"/>
          <w:sz w:val="30"/>
          <w:szCs w:val="30"/>
        </w:rPr>
      </w:pPr>
      <w:r>
        <w:rPr>
          <w:rFonts w:hint="eastAsia"/>
          <w:sz w:val="30"/>
          <w:szCs w:val="30"/>
        </w:rPr>
        <w:t>二〇一八年三月二十九日</w:t>
      </w:r>
    </w:p>
    <w:p w:rsidR="006B4572" w:rsidRDefault="006B4572">
      <w:pPr>
        <w:spacing w:line="500" w:lineRule="atLeast"/>
        <w:divId w:val="545341013"/>
        <w:rPr>
          <w:rFonts w:hint="eastAsia"/>
          <w:sz w:val="30"/>
          <w:szCs w:val="30"/>
        </w:rPr>
      </w:pPr>
      <w:r>
        <w:rPr>
          <w:rFonts w:hint="eastAsia"/>
          <w:sz w:val="30"/>
          <w:szCs w:val="30"/>
        </w:rPr>
        <w:t>本件与原本核对无异</w:t>
      </w:r>
    </w:p>
    <w:p w:rsidR="006B4572" w:rsidRDefault="006B4572">
      <w:pPr>
        <w:spacing w:line="500" w:lineRule="atLeast"/>
        <w:ind w:firstLine="600"/>
        <w:divId w:val="1685014713"/>
        <w:rPr>
          <w:rFonts w:hint="eastAsia"/>
          <w:sz w:val="30"/>
          <w:szCs w:val="30"/>
        </w:rPr>
      </w:pPr>
      <w:r>
        <w:rPr>
          <w:rFonts w:hint="eastAsia"/>
          <w:sz w:val="30"/>
          <w:szCs w:val="30"/>
        </w:rPr>
        <w:t>江一可</w:t>
      </w:r>
    </w:p>
    <w:p w:rsidR="006B4572" w:rsidRDefault="006B4572">
      <w:pPr>
        <w:spacing w:line="500" w:lineRule="atLeast"/>
        <w:ind w:firstLine="600"/>
        <w:divId w:val="1821117957"/>
        <w:rPr>
          <w:rFonts w:hint="eastAsia"/>
          <w:sz w:val="30"/>
          <w:szCs w:val="30"/>
        </w:rPr>
      </w:pPr>
      <w:r>
        <w:rPr>
          <w:rFonts w:hint="eastAsia"/>
          <w:sz w:val="30"/>
          <w:szCs w:val="30"/>
        </w:rPr>
        <w:t>书记员</w:t>
      </w:r>
    </w:p>
    <w:p w:rsidR="006B4572" w:rsidRDefault="006B4572">
      <w:pPr>
        <w:spacing w:line="500" w:lineRule="atLeast"/>
        <w:ind w:firstLine="600"/>
        <w:divId w:val="1804536075"/>
        <w:rPr>
          <w:rFonts w:hint="eastAsia"/>
          <w:sz w:val="30"/>
          <w:szCs w:val="30"/>
        </w:rPr>
      </w:pPr>
      <w:r>
        <w:rPr>
          <w:rFonts w:hint="eastAsia"/>
          <w:sz w:val="30"/>
          <w:szCs w:val="30"/>
        </w:rPr>
        <w:t>马天元</w:t>
      </w:r>
    </w:p>
    <w:p w:rsidR="006B4572" w:rsidRDefault="006B4572">
      <w:pPr>
        <w:spacing w:line="500" w:lineRule="atLeast"/>
        <w:ind w:firstLine="600"/>
        <w:divId w:val="1768764814"/>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4572" w:rsidRDefault="006B4572" w:rsidP="006B4572">
      <w:pPr>
        <w:rPr>
          <w:rFonts w:hint="eastAsia"/>
        </w:rPr>
      </w:pPr>
      <w:r>
        <w:separator/>
      </w:r>
    </w:p>
  </w:endnote>
  <w:endnote w:type="continuationSeparator" w:id="0">
    <w:p w:rsidR="006B4572" w:rsidRDefault="006B4572" w:rsidP="006B45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4572" w:rsidRDefault="006B4572" w:rsidP="006B4572">
      <w:pPr>
        <w:rPr>
          <w:rFonts w:hint="eastAsia"/>
        </w:rPr>
      </w:pPr>
      <w:r>
        <w:separator/>
      </w:r>
    </w:p>
  </w:footnote>
  <w:footnote w:type="continuationSeparator" w:id="0">
    <w:p w:rsidR="006B4572" w:rsidRDefault="006B4572" w:rsidP="006B45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4572"/>
    <w:rsid w:val="006B457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B4572"/>
    <w:pPr>
      <w:tabs>
        <w:tab w:val="center" w:pos="4153"/>
        <w:tab w:val="right" w:pos="8306"/>
      </w:tabs>
      <w:snapToGrid w:val="0"/>
      <w:jc w:val="center"/>
    </w:pPr>
    <w:rPr>
      <w:sz w:val="18"/>
      <w:szCs w:val="18"/>
    </w:rPr>
  </w:style>
  <w:style w:type="character" w:customStyle="1" w:styleId="a5">
    <w:name w:val="页眉 字符"/>
    <w:basedOn w:val="a0"/>
    <w:link w:val="a4"/>
    <w:uiPriority w:val="99"/>
    <w:rsid w:val="006B4572"/>
    <w:rPr>
      <w:rFonts w:ascii="宋体" w:eastAsia="宋体" w:hAnsi="宋体" w:cs="宋体"/>
      <w:sz w:val="18"/>
      <w:szCs w:val="18"/>
    </w:rPr>
  </w:style>
  <w:style w:type="paragraph" w:styleId="a6">
    <w:name w:val="footer"/>
    <w:basedOn w:val="a"/>
    <w:link w:val="a7"/>
    <w:uiPriority w:val="99"/>
    <w:unhideWhenUsed/>
    <w:rsid w:val="006B4572"/>
    <w:pPr>
      <w:tabs>
        <w:tab w:val="center" w:pos="4153"/>
        <w:tab w:val="right" w:pos="8306"/>
      </w:tabs>
      <w:snapToGrid w:val="0"/>
    </w:pPr>
    <w:rPr>
      <w:sz w:val="18"/>
      <w:szCs w:val="18"/>
    </w:rPr>
  </w:style>
  <w:style w:type="character" w:customStyle="1" w:styleId="a7">
    <w:name w:val="页脚 字符"/>
    <w:basedOn w:val="a0"/>
    <w:link w:val="a6"/>
    <w:uiPriority w:val="99"/>
    <w:rsid w:val="006B45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137">
      <w:marLeft w:val="0"/>
      <w:marRight w:val="0"/>
      <w:marTop w:val="10"/>
      <w:marBottom w:val="10"/>
      <w:divBdr>
        <w:top w:val="none" w:sz="0" w:space="0" w:color="auto"/>
        <w:left w:val="none" w:sz="0" w:space="0" w:color="auto"/>
        <w:bottom w:val="none" w:sz="0" w:space="0" w:color="auto"/>
        <w:right w:val="none" w:sz="0" w:space="0" w:color="auto"/>
      </w:divBdr>
    </w:div>
    <w:div w:id="47997122">
      <w:marLeft w:val="0"/>
      <w:marRight w:val="0"/>
      <w:marTop w:val="10"/>
      <w:marBottom w:val="10"/>
      <w:divBdr>
        <w:top w:val="none" w:sz="0" w:space="0" w:color="auto"/>
        <w:left w:val="none" w:sz="0" w:space="0" w:color="auto"/>
        <w:bottom w:val="none" w:sz="0" w:space="0" w:color="auto"/>
        <w:right w:val="none" w:sz="0" w:space="0" w:color="auto"/>
      </w:divBdr>
    </w:div>
    <w:div w:id="96416410">
      <w:marLeft w:val="0"/>
      <w:marRight w:val="0"/>
      <w:marTop w:val="10"/>
      <w:marBottom w:val="10"/>
      <w:divBdr>
        <w:top w:val="none" w:sz="0" w:space="0" w:color="auto"/>
        <w:left w:val="none" w:sz="0" w:space="0" w:color="auto"/>
        <w:bottom w:val="none" w:sz="0" w:space="0" w:color="auto"/>
        <w:right w:val="none" w:sz="0" w:space="0" w:color="auto"/>
      </w:divBdr>
    </w:div>
    <w:div w:id="219245772">
      <w:marLeft w:val="0"/>
      <w:marRight w:val="720"/>
      <w:marTop w:val="10"/>
      <w:marBottom w:val="10"/>
      <w:divBdr>
        <w:top w:val="none" w:sz="0" w:space="0" w:color="auto"/>
        <w:left w:val="none" w:sz="0" w:space="0" w:color="auto"/>
        <w:bottom w:val="none" w:sz="0" w:space="0" w:color="auto"/>
        <w:right w:val="none" w:sz="0" w:space="0" w:color="auto"/>
      </w:divBdr>
    </w:div>
    <w:div w:id="256595392">
      <w:marLeft w:val="0"/>
      <w:marRight w:val="0"/>
      <w:marTop w:val="10"/>
      <w:marBottom w:val="10"/>
      <w:divBdr>
        <w:top w:val="none" w:sz="0" w:space="0" w:color="auto"/>
        <w:left w:val="none" w:sz="0" w:space="0" w:color="auto"/>
        <w:bottom w:val="none" w:sz="0" w:space="0" w:color="auto"/>
        <w:right w:val="none" w:sz="0" w:space="0" w:color="auto"/>
      </w:divBdr>
    </w:div>
    <w:div w:id="354767524">
      <w:marLeft w:val="0"/>
      <w:marRight w:val="720"/>
      <w:marTop w:val="10"/>
      <w:marBottom w:val="10"/>
      <w:divBdr>
        <w:top w:val="none" w:sz="0" w:space="0" w:color="auto"/>
        <w:left w:val="none" w:sz="0" w:space="0" w:color="auto"/>
        <w:bottom w:val="none" w:sz="0" w:space="0" w:color="auto"/>
        <w:right w:val="none" w:sz="0" w:space="0" w:color="auto"/>
      </w:divBdr>
    </w:div>
    <w:div w:id="379089664">
      <w:marLeft w:val="0"/>
      <w:marRight w:val="0"/>
      <w:marTop w:val="10"/>
      <w:marBottom w:val="10"/>
      <w:divBdr>
        <w:top w:val="none" w:sz="0" w:space="0" w:color="auto"/>
        <w:left w:val="none" w:sz="0" w:space="0" w:color="auto"/>
        <w:bottom w:val="none" w:sz="0" w:space="0" w:color="auto"/>
        <w:right w:val="none" w:sz="0" w:space="0" w:color="auto"/>
      </w:divBdr>
    </w:div>
    <w:div w:id="441146904">
      <w:marLeft w:val="0"/>
      <w:marRight w:val="0"/>
      <w:marTop w:val="10"/>
      <w:marBottom w:val="10"/>
      <w:divBdr>
        <w:top w:val="none" w:sz="0" w:space="0" w:color="auto"/>
        <w:left w:val="none" w:sz="0" w:space="0" w:color="auto"/>
        <w:bottom w:val="none" w:sz="0" w:space="0" w:color="auto"/>
        <w:right w:val="none" w:sz="0" w:space="0" w:color="auto"/>
      </w:divBdr>
    </w:div>
    <w:div w:id="524053027">
      <w:marLeft w:val="0"/>
      <w:marRight w:val="0"/>
      <w:marTop w:val="10"/>
      <w:marBottom w:val="10"/>
      <w:divBdr>
        <w:top w:val="none" w:sz="0" w:space="0" w:color="auto"/>
        <w:left w:val="none" w:sz="0" w:space="0" w:color="auto"/>
        <w:bottom w:val="none" w:sz="0" w:space="0" w:color="auto"/>
        <w:right w:val="none" w:sz="0" w:space="0" w:color="auto"/>
      </w:divBdr>
    </w:div>
    <w:div w:id="545341013">
      <w:marLeft w:val="0"/>
      <w:marRight w:val="0"/>
      <w:marTop w:val="10"/>
      <w:marBottom w:val="10"/>
      <w:divBdr>
        <w:top w:val="none" w:sz="0" w:space="0" w:color="auto"/>
        <w:left w:val="none" w:sz="0" w:space="0" w:color="auto"/>
        <w:bottom w:val="none" w:sz="0" w:space="0" w:color="auto"/>
        <w:right w:val="none" w:sz="0" w:space="0" w:color="auto"/>
      </w:divBdr>
    </w:div>
    <w:div w:id="568266203">
      <w:marLeft w:val="0"/>
      <w:marRight w:val="0"/>
      <w:marTop w:val="10"/>
      <w:marBottom w:val="10"/>
      <w:divBdr>
        <w:top w:val="none" w:sz="0" w:space="0" w:color="auto"/>
        <w:left w:val="none" w:sz="0" w:space="0" w:color="auto"/>
        <w:bottom w:val="none" w:sz="0" w:space="0" w:color="auto"/>
        <w:right w:val="none" w:sz="0" w:space="0" w:color="auto"/>
      </w:divBdr>
    </w:div>
    <w:div w:id="652104421">
      <w:marLeft w:val="0"/>
      <w:marRight w:val="0"/>
      <w:marTop w:val="10"/>
      <w:marBottom w:val="10"/>
      <w:divBdr>
        <w:top w:val="none" w:sz="0" w:space="0" w:color="auto"/>
        <w:left w:val="none" w:sz="0" w:space="0" w:color="auto"/>
        <w:bottom w:val="none" w:sz="0" w:space="0" w:color="auto"/>
        <w:right w:val="none" w:sz="0" w:space="0" w:color="auto"/>
      </w:divBdr>
    </w:div>
    <w:div w:id="726758054">
      <w:marLeft w:val="0"/>
      <w:marRight w:val="0"/>
      <w:marTop w:val="10"/>
      <w:marBottom w:val="10"/>
      <w:divBdr>
        <w:top w:val="none" w:sz="0" w:space="0" w:color="auto"/>
        <w:left w:val="none" w:sz="0" w:space="0" w:color="auto"/>
        <w:bottom w:val="none" w:sz="0" w:space="0" w:color="auto"/>
        <w:right w:val="none" w:sz="0" w:space="0" w:color="auto"/>
      </w:divBdr>
    </w:div>
    <w:div w:id="782577917">
      <w:marLeft w:val="0"/>
      <w:marRight w:val="0"/>
      <w:marTop w:val="10"/>
      <w:marBottom w:val="10"/>
      <w:divBdr>
        <w:top w:val="none" w:sz="0" w:space="0" w:color="auto"/>
        <w:left w:val="none" w:sz="0" w:space="0" w:color="auto"/>
        <w:bottom w:val="none" w:sz="0" w:space="0" w:color="auto"/>
        <w:right w:val="none" w:sz="0" w:space="0" w:color="auto"/>
      </w:divBdr>
    </w:div>
    <w:div w:id="969628624">
      <w:marLeft w:val="0"/>
      <w:marRight w:val="0"/>
      <w:marTop w:val="10"/>
      <w:marBottom w:val="10"/>
      <w:divBdr>
        <w:top w:val="none" w:sz="0" w:space="0" w:color="auto"/>
        <w:left w:val="none" w:sz="0" w:space="0" w:color="auto"/>
        <w:bottom w:val="none" w:sz="0" w:space="0" w:color="auto"/>
        <w:right w:val="none" w:sz="0" w:space="0" w:color="auto"/>
      </w:divBdr>
    </w:div>
    <w:div w:id="981546652">
      <w:marLeft w:val="0"/>
      <w:marRight w:val="0"/>
      <w:marTop w:val="10"/>
      <w:marBottom w:val="10"/>
      <w:divBdr>
        <w:top w:val="none" w:sz="0" w:space="0" w:color="auto"/>
        <w:left w:val="none" w:sz="0" w:space="0" w:color="auto"/>
        <w:bottom w:val="none" w:sz="0" w:space="0" w:color="auto"/>
        <w:right w:val="none" w:sz="0" w:space="0" w:color="auto"/>
      </w:divBdr>
    </w:div>
    <w:div w:id="1010714272">
      <w:marLeft w:val="0"/>
      <w:marRight w:val="720"/>
      <w:marTop w:val="10"/>
      <w:marBottom w:val="10"/>
      <w:divBdr>
        <w:top w:val="none" w:sz="0" w:space="0" w:color="auto"/>
        <w:left w:val="none" w:sz="0" w:space="0" w:color="auto"/>
        <w:bottom w:val="none" w:sz="0" w:space="0" w:color="auto"/>
        <w:right w:val="none" w:sz="0" w:space="0" w:color="auto"/>
      </w:divBdr>
    </w:div>
    <w:div w:id="1122454531">
      <w:marLeft w:val="0"/>
      <w:marRight w:val="0"/>
      <w:marTop w:val="10"/>
      <w:marBottom w:val="10"/>
      <w:divBdr>
        <w:top w:val="none" w:sz="0" w:space="0" w:color="auto"/>
        <w:left w:val="none" w:sz="0" w:space="0" w:color="auto"/>
        <w:bottom w:val="none" w:sz="0" w:space="0" w:color="auto"/>
        <w:right w:val="none" w:sz="0" w:space="0" w:color="auto"/>
      </w:divBdr>
    </w:div>
    <w:div w:id="1301307946">
      <w:marLeft w:val="0"/>
      <w:marRight w:val="0"/>
      <w:marTop w:val="10"/>
      <w:marBottom w:val="10"/>
      <w:divBdr>
        <w:top w:val="none" w:sz="0" w:space="0" w:color="auto"/>
        <w:left w:val="none" w:sz="0" w:space="0" w:color="auto"/>
        <w:bottom w:val="none" w:sz="0" w:space="0" w:color="auto"/>
        <w:right w:val="none" w:sz="0" w:space="0" w:color="auto"/>
      </w:divBdr>
    </w:div>
    <w:div w:id="1319380256">
      <w:marLeft w:val="0"/>
      <w:marRight w:val="0"/>
      <w:marTop w:val="10"/>
      <w:marBottom w:val="10"/>
      <w:divBdr>
        <w:top w:val="none" w:sz="0" w:space="0" w:color="auto"/>
        <w:left w:val="none" w:sz="0" w:space="0" w:color="auto"/>
        <w:bottom w:val="none" w:sz="0" w:space="0" w:color="auto"/>
        <w:right w:val="none" w:sz="0" w:space="0" w:color="auto"/>
      </w:divBdr>
    </w:div>
    <w:div w:id="1434593380">
      <w:marLeft w:val="0"/>
      <w:marRight w:val="0"/>
      <w:marTop w:val="10"/>
      <w:marBottom w:val="10"/>
      <w:divBdr>
        <w:top w:val="none" w:sz="0" w:space="0" w:color="auto"/>
        <w:left w:val="none" w:sz="0" w:space="0" w:color="auto"/>
        <w:bottom w:val="none" w:sz="0" w:space="0" w:color="auto"/>
        <w:right w:val="none" w:sz="0" w:space="0" w:color="auto"/>
      </w:divBdr>
    </w:div>
    <w:div w:id="1573274692">
      <w:marLeft w:val="0"/>
      <w:marRight w:val="0"/>
      <w:marTop w:val="10"/>
      <w:marBottom w:val="10"/>
      <w:divBdr>
        <w:top w:val="none" w:sz="0" w:space="0" w:color="auto"/>
        <w:left w:val="none" w:sz="0" w:space="0" w:color="auto"/>
        <w:bottom w:val="none" w:sz="0" w:space="0" w:color="auto"/>
        <w:right w:val="none" w:sz="0" w:space="0" w:color="auto"/>
      </w:divBdr>
    </w:div>
    <w:div w:id="1588078346">
      <w:marLeft w:val="0"/>
      <w:marRight w:val="0"/>
      <w:marTop w:val="10"/>
      <w:marBottom w:val="10"/>
      <w:divBdr>
        <w:top w:val="none" w:sz="0" w:space="0" w:color="auto"/>
        <w:left w:val="none" w:sz="0" w:space="0" w:color="auto"/>
        <w:bottom w:val="none" w:sz="0" w:space="0" w:color="auto"/>
        <w:right w:val="none" w:sz="0" w:space="0" w:color="auto"/>
      </w:divBdr>
    </w:div>
    <w:div w:id="1603417120">
      <w:marLeft w:val="0"/>
      <w:marRight w:val="0"/>
      <w:marTop w:val="10"/>
      <w:marBottom w:val="10"/>
      <w:divBdr>
        <w:top w:val="none" w:sz="0" w:space="0" w:color="auto"/>
        <w:left w:val="none" w:sz="0" w:space="0" w:color="auto"/>
        <w:bottom w:val="none" w:sz="0" w:space="0" w:color="auto"/>
        <w:right w:val="none" w:sz="0" w:space="0" w:color="auto"/>
      </w:divBdr>
    </w:div>
    <w:div w:id="1685014713">
      <w:marLeft w:val="0"/>
      <w:marRight w:val="0"/>
      <w:marTop w:val="10"/>
      <w:marBottom w:val="10"/>
      <w:divBdr>
        <w:top w:val="none" w:sz="0" w:space="0" w:color="auto"/>
        <w:left w:val="none" w:sz="0" w:space="0" w:color="auto"/>
        <w:bottom w:val="none" w:sz="0" w:space="0" w:color="auto"/>
        <w:right w:val="none" w:sz="0" w:space="0" w:color="auto"/>
      </w:divBdr>
    </w:div>
    <w:div w:id="1726030350">
      <w:marLeft w:val="0"/>
      <w:marRight w:val="0"/>
      <w:marTop w:val="10"/>
      <w:marBottom w:val="10"/>
      <w:divBdr>
        <w:top w:val="none" w:sz="0" w:space="0" w:color="auto"/>
        <w:left w:val="none" w:sz="0" w:space="0" w:color="auto"/>
        <w:bottom w:val="none" w:sz="0" w:space="0" w:color="auto"/>
        <w:right w:val="none" w:sz="0" w:space="0" w:color="auto"/>
      </w:divBdr>
    </w:div>
    <w:div w:id="1768764814">
      <w:marLeft w:val="0"/>
      <w:marRight w:val="0"/>
      <w:marTop w:val="10"/>
      <w:marBottom w:val="10"/>
      <w:divBdr>
        <w:top w:val="none" w:sz="0" w:space="0" w:color="auto"/>
        <w:left w:val="none" w:sz="0" w:space="0" w:color="auto"/>
        <w:bottom w:val="none" w:sz="0" w:space="0" w:color="auto"/>
        <w:right w:val="none" w:sz="0" w:space="0" w:color="auto"/>
      </w:divBdr>
    </w:div>
    <w:div w:id="1804536075">
      <w:marLeft w:val="0"/>
      <w:marRight w:val="0"/>
      <w:marTop w:val="10"/>
      <w:marBottom w:val="10"/>
      <w:divBdr>
        <w:top w:val="none" w:sz="0" w:space="0" w:color="auto"/>
        <w:left w:val="none" w:sz="0" w:space="0" w:color="auto"/>
        <w:bottom w:val="none" w:sz="0" w:space="0" w:color="auto"/>
        <w:right w:val="none" w:sz="0" w:space="0" w:color="auto"/>
      </w:divBdr>
    </w:div>
    <w:div w:id="1821117957">
      <w:marLeft w:val="0"/>
      <w:marRight w:val="0"/>
      <w:marTop w:val="10"/>
      <w:marBottom w:val="10"/>
      <w:divBdr>
        <w:top w:val="none" w:sz="0" w:space="0" w:color="auto"/>
        <w:left w:val="none" w:sz="0" w:space="0" w:color="auto"/>
        <w:bottom w:val="none" w:sz="0" w:space="0" w:color="auto"/>
        <w:right w:val="none" w:sz="0" w:space="0" w:color="auto"/>
      </w:divBdr>
    </w:div>
    <w:div w:id="1989280753">
      <w:marLeft w:val="0"/>
      <w:marRight w:val="0"/>
      <w:marTop w:val="10"/>
      <w:marBottom w:val="10"/>
      <w:divBdr>
        <w:top w:val="none" w:sz="0" w:space="0" w:color="auto"/>
        <w:left w:val="none" w:sz="0" w:space="0" w:color="auto"/>
        <w:bottom w:val="none" w:sz="0" w:space="0" w:color="auto"/>
        <w:right w:val="none" w:sz="0" w:space="0" w:color="auto"/>
      </w:divBdr>
    </w:div>
    <w:div w:id="2015104505">
      <w:marLeft w:val="0"/>
      <w:marRight w:val="720"/>
      <w:marTop w:val="10"/>
      <w:marBottom w:val="10"/>
      <w:divBdr>
        <w:top w:val="none" w:sz="0" w:space="0" w:color="auto"/>
        <w:left w:val="none" w:sz="0" w:space="0" w:color="auto"/>
        <w:bottom w:val="none" w:sz="0" w:space="0" w:color="auto"/>
        <w:right w:val="none" w:sz="0" w:space="0" w:color="auto"/>
      </w:divBdr>
    </w:div>
    <w:div w:id="21251465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