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3299" w:rsidRDefault="00A93299">
      <w:pPr>
        <w:spacing w:line="500" w:lineRule="atLeast"/>
        <w:jc w:val="center"/>
        <w:divId w:val="111096284"/>
        <w:rPr>
          <w:rFonts w:ascii="黑体" w:eastAsia="黑体" w:hAnsi="黑体"/>
          <w:sz w:val="36"/>
          <w:szCs w:val="36"/>
        </w:rPr>
      </w:pPr>
      <w:r>
        <w:rPr>
          <w:rFonts w:ascii="黑体" w:eastAsia="黑体" w:hAnsi="黑体" w:hint="eastAsia"/>
          <w:sz w:val="36"/>
          <w:szCs w:val="36"/>
        </w:rPr>
        <w:t>广东省东莞市第三人民法院</w:t>
      </w:r>
    </w:p>
    <w:p w:rsidR="00A93299" w:rsidRDefault="00A93299">
      <w:pPr>
        <w:spacing w:line="500" w:lineRule="atLeast"/>
        <w:jc w:val="center"/>
        <w:divId w:val="14998849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93299" w:rsidRDefault="00A93299">
      <w:pPr>
        <w:spacing w:line="500" w:lineRule="atLeast"/>
        <w:jc w:val="right"/>
        <w:divId w:val="55885643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1973</w:t>
      </w:r>
      <w:r>
        <w:rPr>
          <w:rFonts w:hint="eastAsia"/>
          <w:sz w:val="30"/>
          <w:szCs w:val="30"/>
        </w:rPr>
        <w:t>刑初</w:t>
      </w:r>
      <w:r>
        <w:rPr>
          <w:rFonts w:hint="eastAsia"/>
          <w:sz w:val="30"/>
          <w:szCs w:val="30"/>
        </w:rPr>
        <w:t>2524</w:t>
      </w:r>
      <w:r>
        <w:rPr>
          <w:rFonts w:hint="eastAsia"/>
          <w:sz w:val="30"/>
          <w:szCs w:val="30"/>
        </w:rPr>
        <w:t>号</w:t>
      </w:r>
    </w:p>
    <w:p w:rsidR="00A93299" w:rsidRDefault="00A93299">
      <w:pPr>
        <w:spacing w:line="500" w:lineRule="atLeast"/>
        <w:ind w:firstLine="600"/>
        <w:divId w:val="1037314336"/>
        <w:rPr>
          <w:rFonts w:hint="eastAsia"/>
          <w:sz w:val="30"/>
          <w:szCs w:val="30"/>
        </w:rPr>
      </w:pPr>
      <w:r>
        <w:rPr>
          <w:rFonts w:hint="eastAsia"/>
          <w:sz w:val="30"/>
          <w:szCs w:val="30"/>
        </w:rPr>
        <w:t>公诉机关东莞市第三市区人民检察院。</w:t>
      </w:r>
    </w:p>
    <w:p w:rsidR="00A93299" w:rsidRDefault="00A93299">
      <w:pPr>
        <w:spacing w:line="500" w:lineRule="atLeast"/>
        <w:ind w:firstLine="600"/>
        <w:divId w:val="902527929"/>
        <w:rPr>
          <w:rFonts w:hint="eastAsia"/>
          <w:sz w:val="30"/>
          <w:szCs w:val="30"/>
        </w:rPr>
      </w:pPr>
      <w:r>
        <w:rPr>
          <w:rFonts w:hint="eastAsia"/>
          <w:sz w:val="30"/>
          <w:szCs w:val="30"/>
        </w:rPr>
        <w:t>被告人郑炳坚，男，</w:t>
      </w:r>
      <w:r>
        <w:rPr>
          <w:rFonts w:hint="eastAsia"/>
          <w:sz w:val="30"/>
          <w:szCs w:val="30"/>
        </w:rPr>
        <w:t>1962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日出生，汉族，初中文化，住广东省东莞市虎门镇（香港居住地址为香港特别行政区）。因涉嫌犯行贿罪于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日被本院取保候审。</w:t>
      </w:r>
    </w:p>
    <w:p w:rsidR="00A93299" w:rsidRDefault="00A93299">
      <w:pPr>
        <w:spacing w:line="500" w:lineRule="atLeast"/>
        <w:ind w:firstLine="600"/>
        <w:divId w:val="651450501"/>
        <w:rPr>
          <w:rFonts w:hint="eastAsia"/>
          <w:sz w:val="30"/>
          <w:szCs w:val="30"/>
        </w:rPr>
      </w:pPr>
      <w:r>
        <w:rPr>
          <w:rFonts w:hint="eastAsia"/>
          <w:sz w:val="30"/>
          <w:szCs w:val="30"/>
        </w:rPr>
        <w:t>辩护人李尧宏，广东尚智和律师事务所律师。</w:t>
      </w:r>
    </w:p>
    <w:p w:rsidR="00A93299" w:rsidRDefault="00A93299">
      <w:pPr>
        <w:spacing w:line="500" w:lineRule="atLeast"/>
        <w:ind w:firstLine="600"/>
        <w:divId w:val="128790069"/>
        <w:rPr>
          <w:rFonts w:hint="eastAsia"/>
          <w:sz w:val="30"/>
          <w:szCs w:val="30"/>
        </w:rPr>
      </w:pPr>
      <w:r>
        <w:rPr>
          <w:rFonts w:hint="eastAsia"/>
          <w:sz w:val="30"/>
          <w:szCs w:val="30"/>
        </w:rPr>
        <w:t>东莞市第三市区人民检察院以东三区检刑诉</w:t>
      </w:r>
      <w:r>
        <w:rPr>
          <w:rFonts w:hint="eastAsia"/>
          <w:sz w:val="30"/>
          <w:szCs w:val="30"/>
        </w:rPr>
        <w:t>[2017]2432</w:t>
      </w:r>
      <w:r>
        <w:rPr>
          <w:rFonts w:hint="eastAsia"/>
          <w:sz w:val="30"/>
          <w:szCs w:val="30"/>
        </w:rPr>
        <w:t>号起诉书指控被告人郑炳坚犯行贿罪，于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日向本院提起公诉，同日本院向东莞市中级人民法院请示对该案是否受理立案，同月</w:t>
      </w:r>
      <w:r>
        <w:rPr>
          <w:rFonts w:hint="eastAsia"/>
          <w:sz w:val="30"/>
          <w:szCs w:val="30"/>
        </w:rPr>
        <w:t>19</w:t>
      </w:r>
      <w:r>
        <w:rPr>
          <w:rFonts w:hint="eastAsia"/>
          <w:sz w:val="30"/>
          <w:szCs w:val="30"/>
        </w:rPr>
        <w:t>日东莞市中级人民法院指定本院受理此案，本院于同月</w:t>
      </w:r>
      <w:r>
        <w:rPr>
          <w:rFonts w:hint="eastAsia"/>
          <w:sz w:val="30"/>
          <w:szCs w:val="30"/>
        </w:rPr>
        <w:t>20</w:t>
      </w:r>
      <w:r>
        <w:rPr>
          <w:rFonts w:hint="eastAsia"/>
          <w:sz w:val="30"/>
          <w:szCs w:val="30"/>
        </w:rPr>
        <w:t>日立案，本院依法组成合议庭于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日公开开庭审理了本案。东莞市第三市区人民检察院指派检察员肖肖、牛京智出庭支持公诉。被告人郑炳坚及其辩护人李尧宏到庭参加诉讼。现已审理终结。</w:t>
      </w:r>
    </w:p>
    <w:p w:rsidR="00A93299" w:rsidRDefault="00A93299">
      <w:pPr>
        <w:spacing w:line="500" w:lineRule="atLeast"/>
        <w:ind w:firstLine="600"/>
        <w:divId w:val="1129594275"/>
        <w:rPr>
          <w:rFonts w:hint="eastAsia"/>
          <w:sz w:val="30"/>
          <w:szCs w:val="30"/>
        </w:rPr>
      </w:pPr>
      <w:r>
        <w:rPr>
          <w:rFonts w:hint="eastAsia"/>
          <w:sz w:val="30"/>
          <w:szCs w:val="30"/>
        </w:rPr>
        <w:t>东莞市第三市区人民检察院指控称，（一）</w:t>
      </w:r>
      <w:r>
        <w:rPr>
          <w:rFonts w:hint="eastAsia"/>
          <w:sz w:val="30"/>
          <w:szCs w:val="30"/>
        </w:rPr>
        <w:t>2012</w:t>
      </w:r>
      <w:r>
        <w:rPr>
          <w:rFonts w:hint="eastAsia"/>
          <w:sz w:val="30"/>
          <w:szCs w:val="30"/>
        </w:rPr>
        <w:t>年，东莞市某医院新院食堂对外招揽承包期间，被告人郑炳坚为获得东莞市某医院新院食堂承包权向东莞市某医院院长郑某（另案处理）请托，后郑某利用其职务便利违反《中华人民共和国政府采购法》为郑炳坚获得东莞市某医院新院的食堂承包权提供帮助。事后，郑炳坚在郑某办公室送给郑某人民币</w:t>
      </w:r>
      <w:r>
        <w:rPr>
          <w:rFonts w:hint="eastAsia"/>
          <w:sz w:val="30"/>
          <w:szCs w:val="30"/>
        </w:rPr>
        <w:t>10</w:t>
      </w:r>
      <w:r>
        <w:rPr>
          <w:rFonts w:hint="eastAsia"/>
          <w:sz w:val="30"/>
          <w:szCs w:val="30"/>
        </w:rPr>
        <w:t>万元。</w:t>
      </w:r>
    </w:p>
    <w:p w:rsidR="00A93299" w:rsidRDefault="00A93299">
      <w:pPr>
        <w:spacing w:line="500" w:lineRule="atLeast"/>
        <w:ind w:firstLine="600"/>
        <w:divId w:val="755395271"/>
        <w:rPr>
          <w:rFonts w:hint="eastAsia"/>
          <w:sz w:val="30"/>
          <w:szCs w:val="30"/>
        </w:rPr>
      </w:pPr>
      <w:r>
        <w:rPr>
          <w:rFonts w:hint="eastAsia"/>
          <w:sz w:val="30"/>
          <w:szCs w:val="30"/>
        </w:rPr>
        <w:t>（二）</w:t>
      </w:r>
      <w:r>
        <w:rPr>
          <w:rFonts w:hint="eastAsia"/>
          <w:sz w:val="30"/>
          <w:szCs w:val="30"/>
        </w:rPr>
        <w:t>2015</w:t>
      </w:r>
      <w:r>
        <w:rPr>
          <w:rFonts w:hint="eastAsia"/>
          <w:sz w:val="30"/>
          <w:szCs w:val="30"/>
        </w:rPr>
        <w:t>年，东莞市某医院新院食堂对外招揽承包期间，被告人郑炳坚为获得东莞市某医院新院食堂承包权再次向东莞市某医院院长郑某请托，后郑某利用其职务便利违反《中</w:t>
      </w:r>
      <w:r>
        <w:rPr>
          <w:rFonts w:hint="eastAsia"/>
          <w:sz w:val="30"/>
          <w:szCs w:val="30"/>
        </w:rPr>
        <w:lastRenderedPageBreak/>
        <w:t>华人民共和国政府采购法》为郑炳坚获得东莞市某医院新院的食堂承包权提供帮助。事后，郑炳坚在郑某办公室送给郑某人民币</w:t>
      </w:r>
      <w:r>
        <w:rPr>
          <w:rFonts w:hint="eastAsia"/>
          <w:sz w:val="30"/>
          <w:szCs w:val="30"/>
        </w:rPr>
        <w:t>5</w:t>
      </w:r>
      <w:r>
        <w:rPr>
          <w:rFonts w:hint="eastAsia"/>
          <w:sz w:val="30"/>
          <w:szCs w:val="30"/>
        </w:rPr>
        <w:t>万元。</w:t>
      </w:r>
    </w:p>
    <w:p w:rsidR="00A93299" w:rsidRDefault="00A93299">
      <w:pPr>
        <w:spacing w:line="500" w:lineRule="atLeast"/>
        <w:ind w:firstLine="600"/>
        <w:divId w:val="1819299047"/>
        <w:rPr>
          <w:rFonts w:hint="eastAsia"/>
          <w:sz w:val="30"/>
          <w:szCs w:val="30"/>
        </w:rPr>
      </w:pPr>
      <w:r>
        <w:rPr>
          <w:rFonts w:hint="eastAsia"/>
          <w:sz w:val="30"/>
          <w:szCs w:val="30"/>
        </w:rPr>
        <w:t>公诉机关提供了刘某等证人的证言，东莞市某医院食堂承包合同等书证，被告人郑炳坚的供述与辩解等证据。公诉机关据此认为被告人郑炳坚无视国法，为谋取不正当利益，给予国家工作人员以财物，其行为已触犯《中华人民共和国刑法》第三百八十九条之规定，犯罪事实清楚，证据确实充分，应当以行贿罪追究其刑事责任。提请本院依法惩处。</w:t>
      </w:r>
    </w:p>
    <w:p w:rsidR="00A93299" w:rsidRDefault="00A93299">
      <w:pPr>
        <w:spacing w:line="500" w:lineRule="atLeast"/>
        <w:ind w:firstLine="600"/>
        <w:divId w:val="1487549119"/>
        <w:rPr>
          <w:rFonts w:hint="eastAsia"/>
          <w:sz w:val="30"/>
          <w:szCs w:val="30"/>
        </w:rPr>
      </w:pPr>
      <w:r>
        <w:rPr>
          <w:rFonts w:hint="eastAsia"/>
          <w:sz w:val="30"/>
          <w:szCs w:val="30"/>
        </w:rPr>
        <w:t>被告人郑炳坚对公诉机关起诉指控的事实、罪名及量刑建议均无异议，未提出辩解意见。</w:t>
      </w:r>
    </w:p>
    <w:p w:rsidR="00A93299" w:rsidRDefault="00A93299">
      <w:pPr>
        <w:spacing w:line="500" w:lineRule="atLeast"/>
        <w:ind w:firstLine="600"/>
        <w:divId w:val="1758670524"/>
        <w:rPr>
          <w:rFonts w:hint="eastAsia"/>
          <w:sz w:val="30"/>
          <w:szCs w:val="30"/>
        </w:rPr>
      </w:pPr>
      <w:r>
        <w:rPr>
          <w:rFonts w:hint="eastAsia"/>
          <w:sz w:val="30"/>
          <w:szCs w:val="30"/>
        </w:rPr>
        <w:t>辩护人提出公诉机关指控被告人郑炳坚具有自首情节，没有前科，认罪态度较好等辩护意见。</w:t>
      </w:r>
    </w:p>
    <w:p w:rsidR="00A93299" w:rsidRDefault="00A93299">
      <w:pPr>
        <w:spacing w:line="500" w:lineRule="atLeast"/>
        <w:ind w:firstLine="600"/>
        <w:divId w:val="2131318309"/>
        <w:rPr>
          <w:rFonts w:hint="eastAsia"/>
          <w:sz w:val="30"/>
          <w:szCs w:val="30"/>
        </w:rPr>
      </w:pPr>
      <w:r>
        <w:rPr>
          <w:rFonts w:hint="eastAsia"/>
          <w:sz w:val="30"/>
          <w:szCs w:val="30"/>
        </w:rPr>
        <w:t>经审理查明，公诉机关指控被告人郑炳坚犯行贿罪的事实清楚，证据确实充分，本院予以确认。</w:t>
      </w:r>
    </w:p>
    <w:p w:rsidR="00A93299" w:rsidRDefault="00A93299">
      <w:pPr>
        <w:spacing w:line="500" w:lineRule="atLeast"/>
        <w:ind w:firstLine="600"/>
        <w:divId w:val="2108306535"/>
        <w:rPr>
          <w:rFonts w:hint="eastAsia"/>
          <w:sz w:val="30"/>
          <w:szCs w:val="30"/>
        </w:rPr>
      </w:pPr>
      <w:r>
        <w:rPr>
          <w:rFonts w:hint="eastAsia"/>
          <w:sz w:val="30"/>
          <w:szCs w:val="30"/>
        </w:rPr>
        <w:t>本院认为，被告人郑炳坚无视国法，为谋取不正当利益，给予国家工作人员以财物，其行为已触犯中华人民共和国刑律，构成行贿罪，依法应予惩处。公诉机关提请本院以行贿罪对被告人郑炳坚定罪处罚，罪名成立，本院予以支持。被告人郑炳坚在法庭上自愿认罪，对其可以酌情从轻处罚。关于辩护人所提被告人郑炳坚具有自首情节的问题，经查，被告人经检察机关通知后主动到检察机关，但其在第一次调查笔录中并未如实供述主要犯罪事实，其行为不符合自首的相关规定，不能认定为自首，辩护人所提该点意见，理据不足，本院不予采纳。辩护人所提其他辩护意见，经查基本属实，本院予以采纳。</w:t>
      </w:r>
    </w:p>
    <w:p w:rsidR="00A93299" w:rsidRDefault="00A93299">
      <w:pPr>
        <w:spacing w:line="500" w:lineRule="atLeast"/>
        <w:ind w:firstLine="600"/>
        <w:divId w:val="1752191505"/>
        <w:rPr>
          <w:rFonts w:hint="eastAsia"/>
          <w:sz w:val="30"/>
          <w:szCs w:val="30"/>
        </w:rPr>
      </w:pPr>
      <w:r>
        <w:rPr>
          <w:rFonts w:hint="eastAsia"/>
          <w:sz w:val="30"/>
          <w:szCs w:val="30"/>
        </w:rPr>
        <w:t>关于本案的法律适用问题，因本案的犯罪行为发生在《刑法修正案（九）》施行以前，根据从旧兼从轻原则，对被告人所犯行贿罪应当适用此次修正以前的刑法规定。</w:t>
      </w:r>
    </w:p>
    <w:p w:rsidR="00A93299" w:rsidRDefault="00A93299">
      <w:pPr>
        <w:spacing w:line="500" w:lineRule="atLeast"/>
        <w:ind w:firstLine="600"/>
        <w:divId w:val="2108846678"/>
        <w:rPr>
          <w:rFonts w:hint="eastAsia"/>
          <w:sz w:val="30"/>
          <w:szCs w:val="30"/>
        </w:rPr>
      </w:pPr>
      <w:r>
        <w:rPr>
          <w:rFonts w:hint="eastAsia"/>
          <w:sz w:val="30"/>
          <w:szCs w:val="30"/>
        </w:rPr>
        <w:t>视被告人郑炳坚的犯罪情节和悔罪表现，被告人郑炳坚符合判处缓刑的条件，依法可对其适用缓刑。依照</w:t>
      </w:r>
      <w:r>
        <w:rPr>
          <w:rFonts w:hint="eastAsia"/>
          <w:sz w:val="30"/>
          <w:szCs w:val="30"/>
        </w:rPr>
        <w:t>1997</w:t>
      </w:r>
      <w:r>
        <w:rPr>
          <w:rFonts w:hint="eastAsia"/>
          <w:sz w:val="30"/>
          <w:szCs w:val="30"/>
        </w:rPr>
        <w:t>年修订的《中华人民共和国刑法》第三百八十九条、第三百九十条、第七十二条第一款、第七十三条第二款、第三款的规定，判决如下：</w:t>
      </w:r>
    </w:p>
    <w:p w:rsidR="00A93299" w:rsidRDefault="00A93299">
      <w:pPr>
        <w:spacing w:line="500" w:lineRule="atLeast"/>
        <w:ind w:firstLine="600"/>
        <w:divId w:val="2092968219"/>
        <w:rPr>
          <w:rFonts w:hint="eastAsia"/>
          <w:sz w:val="30"/>
          <w:szCs w:val="30"/>
        </w:rPr>
      </w:pPr>
      <w:r>
        <w:rPr>
          <w:rFonts w:hint="eastAsia"/>
          <w:sz w:val="30"/>
          <w:szCs w:val="30"/>
        </w:rPr>
        <w:t>被告人郑炳坚犯行贿罪，判处有期徒刑九个月，缓刑一年（缓刑考验期限，从判决确定之日起计算）。</w:t>
      </w:r>
    </w:p>
    <w:p w:rsidR="00A93299" w:rsidRDefault="00A93299">
      <w:pPr>
        <w:spacing w:line="500" w:lineRule="atLeast"/>
        <w:ind w:firstLine="600"/>
        <w:divId w:val="110515256"/>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rsidR="00A93299" w:rsidRDefault="00A93299">
      <w:pPr>
        <w:spacing w:line="500" w:lineRule="atLeast"/>
        <w:jc w:val="right"/>
        <w:divId w:val="28839015"/>
        <w:rPr>
          <w:rFonts w:hint="eastAsia"/>
          <w:sz w:val="30"/>
          <w:szCs w:val="30"/>
        </w:rPr>
      </w:pPr>
      <w:r>
        <w:rPr>
          <w:rFonts w:hint="eastAsia"/>
          <w:sz w:val="30"/>
          <w:szCs w:val="30"/>
        </w:rPr>
        <w:t>审判长　温　皓</w:t>
      </w:r>
    </w:p>
    <w:p w:rsidR="00A93299" w:rsidRDefault="00A93299">
      <w:pPr>
        <w:spacing w:line="500" w:lineRule="atLeast"/>
        <w:jc w:val="right"/>
        <w:divId w:val="1556311437"/>
        <w:rPr>
          <w:rFonts w:hint="eastAsia"/>
          <w:sz w:val="30"/>
          <w:szCs w:val="30"/>
        </w:rPr>
      </w:pPr>
      <w:r>
        <w:rPr>
          <w:rFonts w:hint="eastAsia"/>
          <w:sz w:val="30"/>
          <w:szCs w:val="30"/>
        </w:rPr>
        <w:t>审判员　李奇志</w:t>
      </w:r>
    </w:p>
    <w:p w:rsidR="00A93299" w:rsidRDefault="00A93299">
      <w:pPr>
        <w:spacing w:line="500" w:lineRule="atLeast"/>
        <w:jc w:val="right"/>
        <w:divId w:val="1589388226"/>
        <w:rPr>
          <w:rFonts w:hint="eastAsia"/>
          <w:sz w:val="30"/>
          <w:szCs w:val="30"/>
        </w:rPr>
      </w:pPr>
      <w:r>
        <w:rPr>
          <w:rFonts w:hint="eastAsia"/>
          <w:sz w:val="30"/>
          <w:szCs w:val="30"/>
        </w:rPr>
        <w:t>审判员　刘浩宇</w:t>
      </w:r>
    </w:p>
    <w:p w:rsidR="00A93299" w:rsidRDefault="00A93299">
      <w:pPr>
        <w:spacing w:line="500" w:lineRule="atLeast"/>
        <w:jc w:val="right"/>
        <w:divId w:val="1480145815"/>
        <w:rPr>
          <w:rFonts w:hint="eastAsia"/>
          <w:sz w:val="30"/>
          <w:szCs w:val="30"/>
        </w:rPr>
      </w:pPr>
      <w:r>
        <w:rPr>
          <w:rFonts w:hint="eastAsia"/>
          <w:sz w:val="30"/>
          <w:szCs w:val="30"/>
        </w:rPr>
        <w:t>二〇一八年二月十一日</w:t>
      </w:r>
    </w:p>
    <w:p w:rsidR="00A93299" w:rsidRDefault="00A93299">
      <w:pPr>
        <w:spacing w:line="500" w:lineRule="atLeast"/>
        <w:jc w:val="right"/>
        <w:divId w:val="578901500"/>
        <w:rPr>
          <w:rFonts w:hint="eastAsia"/>
          <w:sz w:val="30"/>
          <w:szCs w:val="30"/>
        </w:rPr>
      </w:pPr>
      <w:r>
        <w:rPr>
          <w:rFonts w:hint="eastAsia"/>
          <w:sz w:val="30"/>
          <w:szCs w:val="30"/>
        </w:rPr>
        <w:t>书记员　曾子凤</w:t>
      </w:r>
    </w:p>
    <w:p w:rsidR="00A93299" w:rsidRDefault="00A93299">
      <w:pPr>
        <w:spacing w:line="500" w:lineRule="atLeast"/>
        <w:ind w:firstLine="600"/>
        <w:divId w:val="1106073173"/>
        <w:rPr>
          <w:rFonts w:hint="eastAsia"/>
          <w:sz w:val="30"/>
          <w:szCs w:val="30"/>
        </w:rPr>
      </w:pPr>
      <w:r>
        <w:rPr>
          <w:rFonts w:hint="eastAsia"/>
          <w:sz w:val="30"/>
          <w:szCs w:val="30"/>
        </w:rPr>
        <w:t>高平平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3299" w:rsidRDefault="00A93299" w:rsidP="00A93299">
      <w:pPr>
        <w:rPr>
          <w:rFonts w:hint="eastAsia"/>
        </w:rPr>
      </w:pPr>
      <w:r>
        <w:separator/>
      </w:r>
    </w:p>
  </w:endnote>
  <w:endnote w:type="continuationSeparator" w:id="0">
    <w:p w:rsidR="00A93299" w:rsidRDefault="00A93299" w:rsidP="00A932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3299" w:rsidRDefault="00A93299" w:rsidP="00A93299">
      <w:pPr>
        <w:rPr>
          <w:rFonts w:hint="eastAsia"/>
        </w:rPr>
      </w:pPr>
      <w:r>
        <w:separator/>
      </w:r>
    </w:p>
  </w:footnote>
  <w:footnote w:type="continuationSeparator" w:id="0">
    <w:p w:rsidR="00A93299" w:rsidRDefault="00A93299" w:rsidP="00A932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3299"/>
    <w:rsid w:val="007235DD"/>
    <w:rsid w:val="00A932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93299"/>
    <w:pPr>
      <w:tabs>
        <w:tab w:val="center" w:pos="4153"/>
        <w:tab w:val="right" w:pos="8306"/>
      </w:tabs>
      <w:snapToGrid w:val="0"/>
      <w:jc w:val="center"/>
    </w:pPr>
    <w:rPr>
      <w:sz w:val="18"/>
      <w:szCs w:val="18"/>
    </w:rPr>
  </w:style>
  <w:style w:type="character" w:customStyle="1" w:styleId="a4">
    <w:name w:val="页眉 字符"/>
    <w:basedOn w:val="a0"/>
    <w:link w:val="a3"/>
    <w:uiPriority w:val="99"/>
    <w:rsid w:val="00A93299"/>
    <w:rPr>
      <w:rFonts w:ascii="宋体" w:eastAsia="宋体" w:hAnsi="宋体" w:cs="宋体"/>
      <w:sz w:val="18"/>
      <w:szCs w:val="18"/>
    </w:rPr>
  </w:style>
  <w:style w:type="paragraph" w:styleId="a5">
    <w:name w:val="footer"/>
    <w:basedOn w:val="a"/>
    <w:link w:val="a6"/>
    <w:uiPriority w:val="99"/>
    <w:unhideWhenUsed/>
    <w:rsid w:val="00A93299"/>
    <w:pPr>
      <w:tabs>
        <w:tab w:val="center" w:pos="4153"/>
        <w:tab w:val="right" w:pos="8306"/>
      </w:tabs>
      <w:snapToGrid w:val="0"/>
    </w:pPr>
    <w:rPr>
      <w:sz w:val="18"/>
      <w:szCs w:val="18"/>
    </w:rPr>
  </w:style>
  <w:style w:type="character" w:customStyle="1" w:styleId="a6">
    <w:name w:val="页脚 字符"/>
    <w:basedOn w:val="a0"/>
    <w:link w:val="a5"/>
    <w:uiPriority w:val="99"/>
    <w:rsid w:val="00A932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9015">
      <w:marLeft w:val="0"/>
      <w:marRight w:val="720"/>
      <w:marTop w:val="10"/>
      <w:marBottom w:val="10"/>
      <w:divBdr>
        <w:top w:val="none" w:sz="0" w:space="0" w:color="auto"/>
        <w:left w:val="none" w:sz="0" w:space="0" w:color="auto"/>
        <w:bottom w:val="none" w:sz="0" w:space="0" w:color="auto"/>
        <w:right w:val="none" w:sz="0" w:space="0" w:color="auto"/>
      </w:divBdr>
    </w:div>
    <w:div w:id="110515256">
      <w:marLeft w:val="0"/>
      <w:marRight w:val="0"/>
      <w:marTop w:val="10"/>
      <w:marBottom w:val="10"/>
      <w:divBdr>
        <w:top w:val="none" w:sz="0" w:space="0" w:color="auto"/>
        <w:left w:val="none" w:sz="0" w:space="0" w:color="auto"/>
        <w:bottom w:val="none" w:sz="0" w:space="0" w:color="auto"/>
        <w:right w:val="none" w:sz="0" w:space="0" w:color="auto"/>
      </w:divBdr>
    </w:div>
    <w:div w:id="111096284">
      <w:marLeft w:val="0"/>
      <w:marRight w:val="0"/>
      <w:marTop w:val="10"/>
      <w:marBottom w:val="10"/>
      <w:divBdr>
        <w:top w:val="none" w:sz="0" w:space="0" w:color="auto"/>
        <w:left w:val="none" w:sz="0" w:space="0" w:color="auto"/>
        <w:bottom w:val="none" w:sz="0" w:space="0" w:color="auto"/>
        <w:right w:val="none" w:sz="0" w:space="0" w:color="auto"/>
      </w:divBdr>
    </w:div>
    <w:div w:id="128790069">
      <w:marLeft w:val="0"/>
      <w:marRight w:val="0"/>
      <w:marTop w:val="10"/>
      <w:marBottom w:val="10"/>
      <w:divBdr>
        <w:top w:val="none" w:sz="0" w:space="0" w:color="auto"/>
        <w:left w:val="none" w:sz="0" w:space="0" w:color="auto"/>
        <w:bottom w:val="none" w:sz="0" w:space="0" w:color="auto"/>
        <w:right w:val="none" w:sz="0" w:space="0" w:color="auto"/>
      </w:divBdr>
    </w:div>
    <w:div w:id="558856432">
      <w:marLeft w:val="0"/>
      <w:marRight w:val="0"/>
      <w:marTop w:val="10"/>
      <w:marBottom w:val="10"/>
      <w:divBdr>
        <w:top w:val="none" w:sz="0" w:space="0" w:color="auto"/>
        <w:left w:val="none" w:sz="0" w:space="0" w:color="auto"/>
        <w:bottom w:val="none" w:sz="0" w:space="0" w:color="auto"/>
        <w:right w:val="none" w:sz="0" w:space="0" w:color="auto"/>
      </w:divBdr>
    </w:div>
    <w:div w:id="578901500">
      <w:marLeft w:val="0"/>
      <w:marRight w:val="720"/>
      <w:marTop w:val="10"/>
      <w:marBottom w:val="10"/>
      <w:divBdr>
        <w:top w:val="none" w:sz="0" w:space="0" w:color="auto"/>
        <w:left w:val="none" w:sz="0" w:space="0" w:color="auto"/>
        <w:bottom w:val="none" w:sz="0" w:space="0" w:color="auto"/>
        <w:right w:val="none" w:sz="0" w:space="0" w:color="auto"/>
      </w:divBdr>
    </w:div>
    <w:div w:id="651450501">
      <w:marLeft w:val="0"/>
      <w:marRight w:val="0"/>
      <w:marTop w:val="10"/>
      <w:marBottom w:val="10"/>
      <w:divBdr>
        <w:top w:val="none" w:sz="0" w:space="0" w:color="auto"/>
        <w:left w:val="none" w:sz="0" w:space="0" w:color="auto"/>
        <w:bottom w:val="none" w:sz="0" w:space="0" w:color="auto"/>
        <w:right w:val="none" w:sz="0" w:space="0" w:color="auto"/>
      </w:divBdr>
    </w:div>
    <w:div w:id="755395271">
      <w:marLeft w:val="0"/>
      <w:marRight w:val="0"/>
      <w:marTop w:val="10"/>
      <w:marBottom w:val="10"/>
      <w:divBdr>
        <w:top w:val="none" w:sz="0" w:space="0" w:color="auto"/>
        <w:left w:val="none" w:sz="0" w:space="0" w:color="auto"/>
        <w:bottom w:val="none" w:sz="0" w:space="0" w:color="auto"/>
        <w:right w:val="none" w:sz="0" w:space="0" w:color="auto"/>
      </w:divBdr>
    </w:div>
    <w:div w:id="902527929">
      <w:marLeft w:val="0"/>
      <w:marRight w:val="0"/>
      <w:marTop w:val="10"/>
      <w:marBottom w:val="10"/>
      <w:divBdr>
        <w:top w:val="none" w:sz="0" w:space="0" w:color="auto"/>
        <w:left w:val="none" w:sz="0" w:space="0" w:color="auto"/>
        <w:bottom w:val="none" w:sz="0" w:space="0" w:color="auto"/>
        <w:right w:val="none" w:sz="0" w:space="0" w:color="auto"/>
      </w:divBdr>
    </w:div>
    <w:div w:id="1037314336">
      <w:marLeft w:val="0"/>
      <w:marRight w:val="0"/>
      <w:marTop w:val="10"/>
      <w:marBottom w:val="10"/>
      <w:divBdr>
        <w:top w:val="none" w:sz="0" w:space="0" w:color="auto"/>
        <w:left w:val="none" w:sz="0" w:space="0" w:color="auto"/>
        <w:bottom w:val="none" w:sz="0" w:space="0" w:color="auto"/>
        <w:right w:val="none" w:sz="0" w:space="0" w:color="auto"/>
      </w:divBdr>
    </w:div>
    <w:div w:id="1106073173">
      <w:marLeft w:val="0"/>
      <w:marRight w:val="0"/>
      <w:marTop w:val="10"/>
      <w:marBottom w:val="10"/>
      <w:divBdr>
        <w:top w:val="none" w:sz="0" w:space="0" w:color="auto"/>
        <w:left w:val="none" w:sz="0" w:space="0" w:color="auto"/>
        <w:bottom w:val="none" w:sz="0" w:space="0" w:color="auto"/>
        <w:right w:val="none" w:sz="0" w:space="0" w:color="auto"/>
      </w:divBdr>
    </w:div>
    <w:div w:id="1129594275">
      <w:marLeft w:val="0"/>
      <w:marRight w:val="0"/>
      <w:marTop w:val="10"/>
      <w:marBottom w:val="10"/>
      <w:divBdr>
        <w:top w:val="none" w:sz="0" w:space="0" w:color="auto"/>
        <w:left w:val="none" w:sz="0" w:space="0" w:color="auto"/>
        <w:bottom w:val="none" w:sz="0" w:space="0" w:color="auto"/>
        <w:right w:val="none" w:sz="0" w:space="0" w:color="auto"/>
      </w:divBdr>
    </w:div>
    <w:div w:id="1480145815">
      <w:marLeft w:val="0"/>
      <w:marRight w:val="720"/>
      <w:marTop w:val="10"/>
      <w:marBottom w:val="10"/>
      <w:divBdr>
        <w:top w:val="none" w:sz="0" w:space="0" w:color="auto"/>
        <w:left w:val="none" w:sz="0" w:space="0" w:color="auto"/>
        <w:bottom w:val="none" w:sz="0" w:space="0" w:color="auto"/>
        <w:right w:val="none" w:sz="0" w:space="0" w:color="auto"/>
      </w:divBdr>
    </w:div>
    <w:div w:id="1487549119">
      <w:marLeft w:val="0"/>
      <w:marRight w:val="0"/>
      <w:marTop w:val="10"/>
      <w:marBottom w:val="10"/>
      <w:divBdr>
        <w:top w:val="none" w:sz="0" w:space="0" w:color="auto"/>
        <w:left w:val="none" w:sz="0" w:space="0" w:color="auto"/>
        <w:bottom w:val="none" w:sz="0" w:space="0" w:color="auto"/>
        <w:right w:val="none" w:sz="0" w:space="0" w:color="auto"/>
      </w:divBdr>
    </w:div>
    <w:div w:id="1499884976">
      <w:marLeft w:val="0"/>
      <w:marRight w:val="0"/>
      <w:marTop w:val="10"/>
      <w:marBottom w:val="10"/>
      <w:divBdr>
        <w:top w:val="none" w:sz="0" w:space="0" w:color="auto"/>
        <w:left w:val="none" w:sz="0" w:space="0" w:color="auto"/>
        <w:bottom w:val="none" w:sz="0" w:space="0" w:color="auto"/>
        <w:right w:val="none" w:sz="0" w:space="0" w:color="auto"/>
      </w:divBdr>
    </w:div>
    <w:div w:id="1556311437">
      <w:marLeft w:val="0"/>
      <w:marRight w:val="720"/>
      <w:marTop w:val="10"/>
      <w:marBottom w:val="10"/>
      <w:divBdr>
        <w:top w:val="none" w:sz="0" w:space="0" w:color="auto"/>
        <w:left w:val="none" w:sz="0" w:space="0" w:color="auto"/>
        <w:bottom w:val="none" w:sz="0" w:space="0" w:color="auto"/>
        <w:right w:val="none" w:sz="0" w:space="0" w:color="auto"/>
      </w:divBdr>
    </w:div>
    <w:div w:id="1589388226">
      <w:marLeft w:val="0"/>
      <w:marRight w:val="720"/>
      <w:marTop w:val="10"/>
      <w:marBottom w:val="10"/>
      <w:divBdr>
        <w:top w:val="none" w:sz="0" w:space="0" w:color="auto"/>
        <w:left w:val="none" w:sz="0" w:space="0" w:color="auto"/>
        <w:bottom w:val="none" w:sz="0" w:space="0" w:color="auto"/>
        <w:right w:val="none" w:sz="0" w:space="0" w:color="auto"/>
      </w:divBdr>
    </w:div>
    <w:div w:id="1752191505">
      <w:marLeft w:val="0"/>
      <w:marRight w:val="0"/>
      <w:marTop w:val="10"/>
      <w:marBottom w:val="10"/>
      <w:divBdr>
        <w:top w:val="none" w:sz="0" w:space="0" w:color="auto"/>
        <w:left w:val="none" w:sz="0" w:space="0" w:color="auto"/>
        <w:bottom w:val="none" w:sz="0" w:space="0" w:color="auto"/>
        <w:right w:val="none" w:sz="0" w:space="0" w:color="auto"/>
      </w:divBdr>
    </w:div>
    <w:div w:id="1758670524">
      <w:marLeft w:val="0"/>
      <w:marRight w:val="0"/>
      <w:marTop w:val="10"/>
      <w:marBottom w:val="10"/>
      <w:divBdr>
        <w:top w:val="none" w:sz="0" w:space="0" w:color="auto"/>
        <w:left w:val="none" w:sz="0" w:space="0" w:color="auto"/>
        <w:bottom w:val="none" w:sz="0" w:space="0" w:color="auto"/>
        <w:right w:val="none" w:sz="0" w:space="0" w:color="auto"/>
      </w:divBdr>
    </w:div>
    <w:div w:id="1819299047">
      <w:marLeft w:val="0"/>
      <w:marRight w:val="0"/>
      <w:marTop w:val="10"/>
      <w:marBottom w:val="10"/>
      <w:divBdr>
        <w:top w:val="none" w:sz="0" w:space="0" w:color="auto"/>
        <w:left w:val="none" w:sz="0" w:space="0" w:color="auto"/>
        <w:bottom w:val="none" w:sz="0" w:space="0" w:color="auto"/>
        <w:right w:val="none" w:sz="0" w:space="0" w:color="auto"/>
      </w:divBdr>
    </w:div>
    <w:div w:id="2092968219">
      <w:marLeft w:val="0"/>
      <w:marRight w:val="0"/>
      <w:marTop w:val="10"/>
      <w:marBottom w:val="10"/>
      <w:divBdr>
        <w:top w:val="none" w:sz="0" w:space="0" w:color="auto"/>
        <w:left w:val="none" w:sz="0" w:space="0" w:color="auto"/>
        <w:bottom w:val="none" w:sz="0" w:space="0" w:color="auto"/>
        <w:right w:val="none" w:sz="0" w:space="0" w:color="auto"/>
      </w:divBdr>
    </w:div>
    <w:div w:id="2108306535">
      <w:marLeft w:val="0"/>
      <w:marRight w:val="0"/>
      <w:marTop w:val="10"/>
      <w:marBottom w:val="10"/>
      <w:divBdr>
        <w:top w:val="none" w:sz="0" w:space="0" w:color="auto"/>
        <w:left w:val="none" w:sz="0" w:space="0" w:color="auto"/>
        <w:bottom w:val="none" w:sz="0" w:space="0" w:color="auto"/>
        <w:right w:val="none" w:sz="0" w:space="0" w:color="auto"/>
      </w:divBdr>
    </w:div>
    <w:div w:id="2108846678">
      <w:marLeft w:val="0"/>
      <w:marRight w:val="0"/>
      <w:marTop w:val="10"/>
      <w:marBottom w:val="10"/>
      <w:divBdr>
        <w:top w:val="none" w:sz="0" w:space="0" w:color="auto"/>
        <w:left w:val="none" w:sz="0" w:space="0" w:color="auto"/>
        <w:bottom w:val="none" w:sz="0" w:space="0" w:color="auto"/>
        <w:right w:val="none" w:sz="0" w:space="0" w:color="auto"/>
      </w:divBdr>
    </w:div>
    <w:div w:id="21313183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