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6721" w:rsidRDefault="00AD6721">
      <w:pPr>
        <w:spacing w:line="500" w:lineRule="atLeast"/>
        <w:jc w:val="center"/>
        <w:divId w:val="727343090"/>
        <w:rPr>
          <w:rFonts w:ascii="黑体" w:eastAsia="黑体" w:hAnsi="黑体"/>
          <w:sz w:val="36"/>
          <w:szCs w:val="36"/>
        </w:rPr>
      </w:pPr>
      <w:r>
        <w:rPr>
          <w:rFonts w:ascii="黑体" w:eastAsia="黑体" w:hAnsi="黑体" w:hint="eastAsia"/>
          <w:sz w:val="36"/>
          <w:szCs w:val="36"/>
        </w:rPr>
        <w:t>广东省广州市番禺区人民法院</w:t>
      </w:r>
    </w:p>
    <w:p w:rsidR="00AD6721" w:rsidRDefault="00AD6721">
      <w:pPr>
        <w:spacing w:line="500" w:lineRule="atLeast"/>
        <w:jc w:val="center"/>
        <w:divId w:val="18911869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D6721" w:rsidRDefault="00AD6721">
      <w:pPr>
        <w:spacing w:line="500" w:lineRule="atLeast"/>
        <w:jc w:val="right"/>
        <w:divId w:val="832183048"/>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1699</w:t>
      </w:r>
      <w:r>
        <w:rPr>
          <w:rFonts w:hint="eastAsia"/>
          <w:sz w:val="30"/>
          <w:szCs w:val="30"/>
        </w:rPr>
        <w:t>号</w:t>
      </w:r>
    </w:p>
    <w:p w:rsidR="00AD6721" w:rsidRDefault="00AD6721">
      <w:pPr>
        <w:spacing w:line="500" w:lineRule="atLeast"/>
        <w:ind w:firstLine="600"/>
        <w:divId w:val="126708350"/>
        <w:rPr>
          <w:rFonts w:hint="eastAsia"/>
          <w:sz w:val="30"/>
          <w:szCs w:val="30"/>
        </w:rPr>
      </w:pPr>
      <w:r>
        <w:rPr>
          <w:rFonts w:hint="eastAsia"/>
          <w:sz w:val="30"/>
          <w:szCs w:val="30"/>
        </w:rPr>
        <w:t>公诉机关广州市番禺区人民检察院。</w:t>
      </w:r>
    </w:p>
    <w:p w:rsidR="00AD6721" w:rsidRDefault="00AD6721">
      <w:pPr>
        <w:spacing w:line="500" w:lineRule="atLeast"/>
        <w:ind w:firstLine="600"/>
        <w:divId w:val="2116554083"/>
        <w:rPr>
          <w:rFonts w:hint="eastAsia"/>
          <w:sz w:val="30"/>
          <w:szCs w:val="30"/>
        </w:rPr>
      </w:pPr>
      <w:r>
        <w:rPr>
          <w:rFonts w:hint="eastAsia"/>
          <w:sz w:val="30"/>
          <w:szCs w:val="30"/>
        </w:rPr>
        <w:t>被告人郭某。因本案于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日被羁押，同日被刑事拘留，同月</w:t>
      </w:r>
      <w:r>
        <w:rPr>
          <w:rFonts w:hint="eastAsia"/>
          <w:sz w:val="30"/>
          <w:szCs w:val="30"/>
        </w:rPr>
        <w:t>22</w:t>
      </w:r>
      <w:r>
        <w:rPr>
          <w:rFonts w:hint="eastAsia"/>
          <w:sz w:val="30"/>
          <w:szCs w:val="30"/>
        </w:rPr>
        <w:t>日被逮捕。现押于广州市番禺区看守所。</w:t>
      </w:r>
    </w:p>
    <w:p w:rsidR="00AD6721" w:rsidRDefault="00AD6721">
      <w:pPr>
        <w:spacing w:line="500" w:lineRule="atLeast"/>
        <w:ind w:firstLine="600"/>
        <w:divId w:val="670985144"/>
        <w:rPr>
          <w:rFonts w:hint="eastAsia"/>
          <w:sz w:val="30"/>
          <w:szCs w:val="30"/>
        </w:rPr>
      </w:pPr>
      <w:r>
        <w:rPr>
          <w:rFonts w:hint="eastAsia"/>
          <w:sz w:val="30"/>
          <w:szCs w:val="30"/>
        </w:rPr>
        <w:t>辩护人陈志敏、曾韵莹，是广东金本色律师事务所律师。</w:t>
      </w:r>
    </w:p>
    <w:p w:rsidR="00AD6721" w:rsidRDefault="00AD6721">
      <w:pPr>
        <w:spacing w:line="500" w:lineRule="atLeast"/>
        <w:ind w:firstLine="600"/>
        <w:divId w:val="677002138"/>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1710</w:t>
      </w:r>
      <w:r>
        <w:rPr>
          <w:rFonts w:hint="eastAsia"/>
          <w:sz w:val="30"/>
          <w:szCs w:val="30"/>
        </w:rPr>
        <w:t>号起诉书指控被告人郭某行贿一案，于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日向本院提起公诉。本院依法组成合议庭，公开开庭审理了本案。广州市番禺区人民检察院指派代理检察员王朝霞出庭支持公诉，被告人郭某及其辩护人陈志敏、曾韵莹到庭参加了诉讼。现已审理终结。</w:t>
      </w:r>
    </w:p>
    <w:p w:rsidR="00AD6721" w:rsidRDefault="00AD6721">
      <w:pPr>
        <w:spacing w:line="500" w:lineRule="atLeast"/>
        <w:ind w:firstLine="600"/>
        <w:divId w:val="560406504"/>
        <w:rPr>
          <w:rFonts w:hint="eastAsia"/>
          <w:sz w:val="30"/>
          <w:szCs w:val="30"/>
        </w:rPr>
      </w:pPr>
      <w:r>
        <w:rPr>
          <w:rFonts w:hint="eastAsia"/>
          <w:sz w:val="30"/>
          <w:szCs w:val="30"/>
        </w:rPr>
        <w:t>公诉机关指控，被告人郭某长期在本区石壁镇石壁一村、二村租赁土地开设花木场。</w:t>
      </w:r>
      <w:r>
        <w:rPr>
          <w:rFonts w:hint="eastAsia"/>
          <w:sz w:val="30"/>
          <w:szCs w:val="30"/>
        </w:rPr>
        <w:t>2011</w:t>
      </w:r>
      <w:r>
        <w:rPr>
          <w:rFonts w:hint="eastAsia"/>
          <w:sz w:val="30"/>
          <w:szCs w:val="30"/>
        </w:rPr>
        <w:t>年年底，因广州市火车南站项目配套设施建设工程需要，需征用本区石壁街所属部分土地，其中被告人郭某所租赁土地也部分在征用范围内。后被告人郭某为提高其所租赁土地的青苗补偿及地上附着物赔偿金额，采取现金及转帐方式，先后贿送给石壁一村、二村村委会主任区某甲、区某乙（均另案处理）及本区石壁街道办事处城建中心征地拆迁管理办公室工作人员区某丙、区某丁（均另案处理）共计人民币</w:t>
      </w:r>
      <w:r>
        <w:rPr>
          <w:rFonts w:hint="eastAsia"/>
          <w:sz w:val="30"/>
          <w:szCs w:val="30"/>
        </w:rPr>
        <w:t>40</w:t>
      </w:r>
      <w:r>
        <w:rPr>
          <w:rFonts w:hint="eastAsia"/>
          <w:sz w:val="30"/>
          <w:szCs w:val="30"/>
        </w:rPr>
        <w:t>万元。公诉机关认为，被告人郭某为谋取不正当利益，给予国家工作人员以财物，其行为已触犯了《中华人民共和国刑法》第三百八十九条第一款、第三百九十条，犯罪事实清楚，证据确实、充分，应当以行贿罪追究其刑事责任。被告人郭某犯罪以后自动投案，如实供述自己的罪行，根据《中华人民共和国刑法》第六十七条第一款之规定，是自首，可以</w:t>
      </w:r>
      <w:r>
        <w:rPr>
          <w:rFonts w:hint="eastAsia"/>
          <w:sz w:val="30"/>
          <w:szCs w:val="30"/>
        </w:rPr>
        <w:lastRenderedPageBreak/>
        <w:t>从轻或者减轻处罚。被告人郭某在追诉前主动交代行贿行为，根据《中华人民共和国刑法》第三百九十条第二款之规定，可以减轻处罚。提请本院依法判处。</w:t>
      </w:r>
    </w:p>
    <w:p w:rsidR="00AD6721" w:rsidRDefault="00AD6721">
      <w:pPr>
        <w:spacing w:line="500" w:lineRule="atLeast"/>
        <w:ind w:firstLine="600"/>
        <w:divId w:val="138696841"/>
        <w:rPr>
          <w:rFonts w:hint="eastAsia"/>
          <w:sz w:val="30"/>
          <w:szCs w:val="30"/>
        </w:rPr>
      </w:pPr>
      <w:r>
        <w:rPr>
          <w:rFonts w:hint="eastAsia"/>
          <w:sz w:val="30"/>
          <w:szCs w:val="30"/>
        </w:rPr>
        <w:t>被告人郭某承认控罪。</w:t>
      </w:r>
    </w:p>
    <w:p w:rsidR="00AD6721" w:rsidRDefault="00AD6721">
      <w:pPr>
        <w:spacing w:line="500" w:lineRule="atLeast"/>
        <w:ind w:firstLine="600"/>
        <w:divId w:val="546339534"/>
        <w:rPr>
          <w:rFonts w:hint="eastAsia"/>
          <w:sz w:val="30"/>
          <w:szCs w:val="30"/>
        </w:rPr>
      </w:pPr>
      <w:r>
        <w:rPr>
          <w:rFonts w:hint="eastAsia"/>
          <w:sz w:val="30"/>
          <w:szCs w:val="30"/>
        </w:rPr>
        <w:t>辩护人的辩护意见：对起诉书指控被告人的犯罪事实和罪名没有异议，具体辩护意见如下：</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、对被告人行贿金额应作相应调整，区某甲的贿款不应作为被告人的行贿金额。</w:t>
      </w:r>
      <w:r>
        <w:rPr>
          <w:rFonts w:hint="eastAsia"/>
          <w:sz w:val="30"/>
          <w:szCs w:val="30"/>
        </w:rPr>
        <w:t>3</w:t>
      </w:r>
      <w:r>
        <w:rPr>
          <w:rFonts w:hint="eastAsia"/>
          <w:sz w:val="30"/>
          <w:szCs w:val="30"/>
        </w:rPr>
        <w:t>、被告人对非国家工作人员区某甲、区某乙行贿的主观恶性较少。</w:t>
      </w:r>
      <w:r>
        <w:rPr>
          <w:rFonts w:hint="eastAsia"/>
          <w:sz w:val="30"/>
          <w:szCs w:val="30"/>
        </w:rPr>
        <w:t>4</w:t>
      </w:r>
      <w:r>
        <w:rPr>
          <w:rFonts w:hint="eastAsia"/>
          <w:sz w:val="30"/>
          <w:szCs w:val="30"/>
        </w:rPr>
        <w:t>、被告人认罪悔罪态度好，社会危险性小。</w:t>
      </w:r>
      <w:r>
        <w:rPr>
          <w:rFonts w:hint="eastAsia"/>
          <w:sz w:val="30"/>
          <w:szCs w:val="30"/>
        </w:rPr>
        <w:t>5</w:t>
      </w:r>
      <w:r>
        <w:rPr>
          <w:rFonts w:hint="eastAsia"/>
          <w:sz w:val="30"/>
          <w:szCs w:val="30"/>
        </w:rPr>
        <w:t>、被告人犯罪前表现一贯工作认真，系初犯，没有犯罪前科。</w:t>
      </w:r>
      <w:r>
        <w:rPr>
          <w:rFonts w:hint="eastAsia"/>
          <w:sz w:val="30"/>
          <w:szCs w:val="30"/>
        </w:rPr>
        <w:t>6</w:t>
      </w:r>
      <w:r>
        <w:rPr>
          <w:rFonts w:hint="eastAsia"/>
          <w:sz w:val="30"/>
          <w:szCs w:val="30"/>
        </w:rPr>
        <w:t>、本案属于典型的认罪案件。综上所述，恳请法庭对被告人从轻处罚，并适用缓刑。</w:t>
      </w:r>
    </w:p>
    <w:p w:rsidR="00AD6721" w:rsidRDefault="00AD6721">
      <w:pPr>
        <w:spacing w:line="500" w:lineRule="atLeast"/>
        <w:ind w:firstLine="600"/>
        <w:divId w:val="1801024266"/>
        <w:rPr>
          <w:rFonts w:hint="eastAsia"/>
          <w:sz w:val="30"/>
          <w:szCs w:val="30"/>
        </w:rPr>
      </w:pPr>
      <w:r>
        <w:rPr>
          <w:rFonts w:hint="eastAsia"/>
          <w:sz w:val="30"/>
          <w:szCs w:val="30"/>
        </w:rPr>
        <w:t>经审理查明：被告人郭某长期在本区石壁镇石壁一村、二村租赁土地开设花木场。</w:t>
      </w:r>
      <w:r>
        <w:rPr>
          <w:rFonts w:hint="eastAsia"/>
          <w:sz w:val="30"/>
          <w:szCs w:val="30"/>
        </w:rPr>
        <w:t>2011</w:t>
      </w:r>
      <w:r>
        <w:rPr>
          <w:rFonts w:hint="eastAsia"/>
          <w:sz w:val="30"/>
          <w:szCs w:val="30"/>
        </w:rPr>
        <w:t>年年底，因广州市火车南站项目配套设施建设工程需要，需征用本区石壁街所属部分土地，其中被告人郭某所租赁土地也部分在征用范围内。后被告人郭某为提高其所租赁土地的青苗补偿及地上附着物赔偿金额，采取现金及转帐方式，先后贿送给石壁一村、二村村委会主任区某甲、区某乙（均另案处理）及本区石壁街道办事处城建中心征地拆迁管理办公室工作人员区某丙、区某丁（均另案处理）共计人民币</w:t>
      </w:r>
      <w:r>
        <w:rPr>
          <w:rFonts w:hint="eastAsia"/>
          <w:sz w:val="30"/>
          <w:szCs w:val="30"/>
        </w:rPr>
        <w:t>40</w:t>
      </w:r>
      <w:r>
        <w:rPr>
          <w:rFonts w:hint="eastAsia"/>
          <w:sz w:val="30"/>
          <w:szCs w:val="30"/>
        </w:rPr>
        <w:t>万元。</w:t>
      </w:r>
    </w:p>
    <w:p w:rsidR="00AD6721" w:rsidRDefault="00AD6721">
      <w:pPr>
        <w:spacing w:line="500" w:lineRule="atLeast"/>
        <w:ind w:firstLine="600"/>
        <w:divId w:val="1647128386"/>
        <w:rPr>
          <w:rFonts w:hint="eastAsia"/>
          <w:sz w:val="30"/>
          <w:szCs w:val="30"/>
        </w:rPr>
      </w:pPr>
      <w:r>
        <w:rPr>
          <w:rFonts w:hint="eastAsia"/>
          <w:sz w:val="30"/>
          <w:szCs w:val="30"/>
        </w:rPr>
        <w:t>上述事实，被告人在开庭审理过程中亦无异议，且有证人黄某、区某丁、梁某、区某乙、区某甲的证言，被告人供述，青苗补偿及地上附着物赔偿协议，区碧坚的银行账户明细，区某丁、梁某、区某甲、区某乙身份履历证明，同步录像，破案经过等证据证实，足以认定。</w:t>
      </w:r>
    </w:p>
    <w:p w:rsidR="00AD6721" w:rsidRDefault="00AD6721">
      <w:pPr>
        <w:spacing w:line="500" w:lineRule="atLeast"/>
        <w:ind w:firstLine="600"/>
        <w:divId w:val="266813774"/>
        <w:rPr>
          <w:rFonts w:hint="eastAsia"/>
          <w:sz w:val="30"/>
          <w:szCs w:val="30"/>
        </w:rPr>
      </w:pPr>
      <w:r>
        <w:rPr>
          <w:rFonts w:hint="eastAsia"/>
          <w:sz w:val="30"/>
          <w:szCs w:val="30"/>
        </w:rPr>
        <w:t>对于辩护人提出区某甲的贿款不应作为被告人行贿金额的意见。经查，虽然钱是黄某给区某甲的，但是黄某、区某甲的证言均证实其中</w:t>
      </w:r>
      <w:r>
        <w:rPr>
          <w:rFonts w:hint="eastAsia"/>
          <w:sz w:val="30"/>
          <w:szCs w:val="30"/>
        </w:rPr>
        <w:t>10</w:t>
      </w:r>
      <w:r>
        <w:rPr>
          <w:rFonts w:hint="eastAsia"/>
          <w:sz w:val="30"/>
          <w:szCs w:val="30"/>
        </w:rPr>
        <w:t>万元是被告人郭某让黄某转交给区某甲的感谢费，被告人郭某亦供述给黄某这些钱是让他活动找村主任帮忙提高补偿标准的。上述各人的陈述能够互相吻合，因此该</w:t>
      </w:r>
      <w:r>
        <w:rPr>
          <w:rFonts w:hint="eastAsia"/>
          <w:sz w:val="30"/>
          <w:szCs w:val="30"/>
        </w:rPr>
        <w:t>10</w:t>
      </w:r>
      <w:r>
        <w:rPr>
          <w:rFonts w:hint="eastAsia"/>
          <w:sz w:val="30"/>
          <w:szCs w:val="30"/>
        </w:rPr>
        <w:t>万元应计算在行贿数额内。辩护人的该点辩护意见本院不予采纳。辩护人提出被告人是自首、初犯等意见符合本案事实，本院予以采纳。</w:t>
      </w:r>
    </w:p>
    <w:p w:rsidR="00AD6721" w:rsidRDefault="00AD6721">
      <w:pPr>
        <w:spacing w:line="500" w:lineRule="atLeast"/>
        <w:ind w:firstLine="600"/>
        <w:divId w:val="1892424309"/>
        <w:rPr>
          <w:rFonts w:hint="eastAsia"/>
          <w:sz w:val="30"/>
          <w:szCs w:val="30"/>
        </w:rPr>
      </w:pPr>
      <w:r>
        <w:rPr>
          <w:rFonts w:hint="eastAsia"/>
          <w:sz w:val="30"/>
          <w:szCs w:val="30"/>
        </w:rPr>
        <w:t>本院认为，被告人郭某为谋取不正当利益，给予国家工作人员以财物，情节严重，其行为已构成行贿罪。依法应当对其适用“五年以上十年以下有期徒刑”的量刑幅度予以处罚。鉴于被告人郭某在被追诉前主动交代行贿行为，可以减轻处罚；被告人郭某犯罪以后自动投案，如实供述自己的罪行，是自首，可以从轻处罚。本院根据前述法定刑幅度、法定的量刑情节、酌定的量刑情节，并综合考虑被告人作案的具体事实，认罪态度等因素确定宣告刑。依照《中华人民共和国刑法》第三百八十九条、第三百九十条、第六十七条第一款、第七十二条、第七十三条和《最高人民法院最高人民检察院关于办理行贿刑事案件具体应用法律若干问题的解释》第二条第（一）项以及《最高人民法院关于处理自首和立功具体应用法律若干问题的解释》第一条、第三条的规定，判决如下：</w:t>
      </w:r>
    </w:p>
    <w:p w:rsidR="00AD6721" w:rsidRDefault="00AD6721">
      <w:pPr>
        <w:spacing w:line="500" w:lineRule="atLeast"/>
        <w:ind w:firstLine="600"/>
        <w:divId w:val="465971643"/>
        <w:rPr>
          <w:rFonts w:hint="eastAsia"/>
          <w:sz w:val="30"/>
          <w:szCs w:val="30"/>
        </w:rPr>
      </w:pPr>
      <w:r>
        <w:rPr>
          <w:rFonts w:hint="eastAsia"/>
          <w:sz w:val="30"/>
          <w:szCs w:val="30"/>
        </w:rPr>
        <w:t>被告人郭某犯行贿罪，判处有期徒刑二年三个月，缓刑三年（缓刑考验期限从判决确定之日起计算）。</w:t>
      </w:r>
    </w:p>
    <w:p w:rsidR="00AD6721" w:rsidRDefault="00AD6721">
      <w:pPr>
        <w:spacing w:line="500" w:lineRule="atLeast"/>
        <w:ind w:firstLine="600"/>
        <w:divId w:val="61608897"/>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AD6721" w:rsidRDefault="00AD6721">
      <w:pPr>
        <w:spacing w:line="500" w:lineRule="atLeast"/>
        <w:jc w:val="right"/>
        <w:divId w:val="1801533475"/>
        <w:rPr>
          <w:rFonts w:hint="eastAsia"/>
          <w:sz w:val="30"/>
          <w:szCs w:val="30"/>
        </w:rPr>
      </w:pPr>
      <w:r>
        <w:rPr>
          <w:rFonts w:hint="eastAsia"/>
          <w:sz w:val="30"/>
          <w:szCs w:val="30"/>
        </w:rPr>
        <w:t>审　判　长　　张志文</w:t>
      </w:r>
    </w:p>
    <w:p w:rsidR="00AD6721" w:rsidRDefault="00AD6721">
      <w:pPr>
        <w:spacing w:line="500" w:lineRule="atLeast"/>
        <w:jc w:val="right"/>
        <w:divId w:val="1072894693"/>
        <w:rPr>
          <w:rFonts w:hint="eastAsia"/>
          <w:sz w:val="30"/>
          <w:szCs w:val="30"/>
        </w:rPr>
      </w:pPr>
      <w:r>
        <w:rPr>
          <w:rFonts w:hint="eastAsia"/>
          <w:sz w:val="30"/>
          <w:szCs w:val="30"/>
        </w:rPr>
        <w:t>人民陪审员　　何伟峰</w:t>
      </w:r>
    </w:p>
    <w:p w:rsidR="00AD6721" w:rsidRDefault="00AD6721">
      <w:pPr>
        <w:spacing w:line="500" w:lineRule="atLeast"/>
        <w:jc w:val="right"/>
        <w:divId w:val="1731928145"/>
        <w:rPr>
          <w:rFonts w:hint="eastAsia"/>
          <w:sz w:val="30"/>
          <w:szCs w:val="30"/>
        </w:rPr>
      </w:pPr>
      <w:r>
        <w:rPr>
          <w:rFonts w:hint="eastAsia"/>
          <w:sz w:val="30"/>
          <w:szCs w:val="30"/>
        </w:rPr>
        <w:t>人民陪审员　　郭洋铺</w:t>
      </w:r>
    </w:p>
    <w:p w:rsidR="00AD6721" w:rsidRDefault="00AD6721">
      <w:pPr>
        <w:spacing w:line="500" w:lineRule="atLeast"/>
        <w:jc w:val="right"/>
        <w:divId w:val="1170604053"/>
        <w:rPr>
          <w:rFonts w:hint="eastAsia"/>
          <w:sz w:val="30"/>
          <w:szCs w:val="30"/>
        </w:rPr>
      </w:pPr>
      <w:r>
        <w:rPr>
          <w:rFonts w:hint="eastAsia"/>
          <w:sz w:val="30"/>
          <w:szCs w:val="30"/>
        </w:rPr>
        <w:t>二〇一四年十二月五日</w:t>
      </w:r>
    </w:p>
    <w:p w:rsidR="00AD6721" w:rsidRDefault="00AD6721">
      <w:pPr>
        <w:spacing w:line="500" w:lineRule="atLeast"/>
        <w:jc w:val="right"/>
        <w:divId w:val="765343152"/>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6721" w:rsidRDefault="00AD6721" w:rsidP="00AD6721">
      <w:pPr>
        <w:rPr>
          <w:rFonts w:hint="eastAsia"/>
        </w:rPr>
      </w:pPr>
      <w:r>
        <w:separator/>
      </w:r>
    </w:p>
  </w:endnote>
  <w:endnote w:type="continuationSeparator" w:id="0">
    <w:p w:rsidR="00AD6721" w:rsidRDefault="00AD6721" w:rsidP="00AD67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6721" w:rsidRDefault="00AD6721" w:rsidP="00AD6721">
      <w:pPr>
        <w:rPr>
          <w:rFonts w:hint="eastAsia"/>
        </w:rPr>
      </w:pPr>
      <w:r>
        <w:separator/>
      </w:r>
    </w:p>
  </w:footnote>
  <w:footnote w:type="continuationSeparator" w:id="0">
    <w:p w:rsidR="00AD6721" w:rsidRDefault="00AD6721" w:rsidP="00AD67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6721"/>
    <w:rsid w:val="007235DD"/>
    <w:rsid w:val="00AD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6721"/>
    <w:pPr>
      <w:tabs>
        <w:tab w:val="center" w:pos="4153"/>
        <w:tab w:val="right" w:pos="8306"/>
      </w:tabs>
      <w:snapToGrid w:val="0"/>
      <w:jc w:val="center"/>
    </w:pPr>
    <w:rPr>
      <w:sz w:val="18"/>
      <w:szCs w:val="18"/>
    </w:rPr>
  </w:style>
  <w:style w:type="character" w:customStyle="1" w:styleId="a4">
    <w:name w:val="页眉 字符"/>
    <w:basedOn w:val="a0"/>
    <w:link w:val="a3"/>
    <w:uiPriority w:val="99"/>
    <w:rsid w:val="00AD6721"/>
    <w:rPr>
      <w:rFonts w:ascii="宋体" w:eastAsia="宋体" w:hAnsi="宋体" w:cs="宋体"/>
      <w:sz w:val="18"/>
      <w:szCs w:val="18"/>
    </w:rPr>
  </w:style>
  <w:style w:type="paragraph" w:styleId="a5">
    <w:name w:val="footer"/>
    <w:basedOn w:val="a"/>
    <w:link w:val="a6"/>
    <w:uiPriority w:val="99"/>
    <w:unhideWhenUsed/>
    <w:rsid w:val="00AD6721"/>
    <w:pPr>
      <w:tabs>
        <w:tab w:val="center" w:pos="4153"/>
        <w:tab w:val="right" w:pos="8306"/>
      </w:tabs>
      <w:snapToGrid w:val="0"/>
    </w:pPr>
    <w:rPr>
      <w:sz w:val="18"/>
      <w:szCs w:val="18"/>
    </w:rPr>
  </w:style>
  <w:style w:type="character" w:customStyle="1" w:styleId="a6">
    <w:name w:val="页脚 字符"/>
    <w:basedOn w:val="a0"/>
    <w:link w:val="a5"/>
    <w:uiPriority w:val="99"/>
    <w:rsid w:val="00AD67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8897">
      <w:marLeft w:val="0"/>
      <w:marRight w:val="0"/>
      <w:marTop w:val="10"/>
      <w:marBottom w:val="10"/>
      <w:divBdr>
        <w:top w:val="none" w:sz="0" w:space="0" w:color="auto"/>
        <w:left w:val="none" w:sz="0" w:space="0" w:color="auto"/>
        <w:bottom w:val="none" w:sz="0" w:space="0" w:color="auto"/>
        <w:right w:val="none" w:sz="0" w:space="0" w:color="auto"/>
      </w:divBdr>
    </w:div>
    <w:div w:id="126708350">
      <w:marLeft w:val="0"/>
      <w:marRight w:val="0"/>
      <w:marTop w:val="10"/>
      <w:marBottom w:val="10"/>
      <w:divBdr>
        <w:top w:val="none" w:sz="0" w:space="0" w:color="auto"/>
        <w:left w:val="none" w:sz="0" w:space="0" w:color="auto"/>
        <w:bottom w:val="none" w:sz="0" w:space="0" w:color="auto"/>
        <w:right w:val="none" w:sz="0" w:space="0" w:color="auto"/>
      </w:divBdr>
    </w:div>
    <w:div w:id="138696841">
      <w:marLeft w:val="0"/>
      <w:marRight w:val="0"/>
      <w:marTop w:val="10"/>
      <w:marBottom w:val="10"/>
      <w:divBdr>
        <w:top w:val="none" w:sz="0" w:space="0" w:color="auto"/>
        <w:left w:val="none" w:sz="0" w:space="0" w:color="auto"/>
        <w:bottom w:val="none" w:sz="0" w:space="0" w:color="auto"/>
        <w:right w:val="none" w:sz="0" w:space="0" w:color="auto"/>
      </w:divBdr>
    </w:div>
    <w:div w:id="266813774">
      <w:marLeft w:val="0"/>
      <w:marRight w:val="0"/>
      <w:marTop w:val="10"/>
      <w:marBottom w:val="10"/>
      <w:divBdr>
        <w:top w:val="none" w:sz="0" w:space="0" w:color="auto"/>
        <w:left w:val="none" w:sz="0" w:space="0" w:color="auto"/>
        <w:bottom w:val="none" w:sz="0" w:space="0" w:color="auto"/>
        <w:right w:val="none" w:sz="0" w:space="0" w:color="auto"/>
      </w:divBdr>
    </w:div>
    <w:div w:id="465971643">
      <w:marLeft w:val="0"/>
      <w:marRight w:val="0"/>
      <w:marTop w:val="10"/>
      <w:marBottom w:val="10"/>
      <w:divBdr>
        <w:top w:val="none" w:sz="0" w:space="0" w:color="auto"/>
        <w:left w:val="none" w:sz="0" w:space="0" w:color="auto"/>
        <w:bottom w:val="none" w:sz="0" w:space="0" w:color="auto"/>
        <w:right w:val="none" w:sz="0" w:space="0" w:color="auto"/>
      </w:divBdr>
    </w:div>
    <w:div w:id="546339534">
      <w:marLeft w:val="0"/>
      <w:marRight w:val="0"/>
      <w:marTop w:val="10"/>
      <w:marBottom w:val="10"/>
      <w:divBdr>
        <w:top w:val="none" w:sz="0" w:space="0" w:color="auto"/>
        <w:left w:val="none" w:sz="0" w:space="0" w:color="auto"/>
        <w:bottom w:val="none" w:sz="0" w:space="0" w:color="auto"/>
        <w:right w:val="none" w:sz="0" w:space="0" w:color="auto"/>
      </w:divBdr>
    </w:div>
    <w:div w:id="560406504">
      <w:marLeft w:val="0"/>
      <w:marRight w:val="0"/>
      <w:marTop w:val="10"/>
      <w:marBottom w:val="10"/>
      <w:divBdr>
        <w:top w:val="none" w:sz="0" w:space="0" w:color="auto"/>
        <w:left w:val="none" w:sz="0" w:space="0" w:color="auto"/>
        <w:bottom w:val="none" w:sz="0" w:space="0" w:color="auto"/>
        <w:right w:val="none" w:sz="0" w:space="0" w:color="auto"/>
      </w:divBdr>
    </w:div>
    <w:div w:id="670985144">
      <w:marLeft w:val="0"/>
      <w:marRight w:val="0"/>
      <w:marTop w:val="10"/>
      <w:marBottom w:val="10"/>
      <w:divBdr>
        <w:top w:val="none" w:sz="0" w:space="0" w:color="auto"/>
        <w:left w:val="none" w:sz="0" w:space="0" w:color="auto"/>
        <w:bottom w:val="none" w:sz="0" w:space="0" w:color="auto"/>
        <w:right w:val="none" w:sz="0" w:space="0" w:color="auto"/>
      </w:divBdr>
    </w:div>
    <w:div w:id="677002138">
      <w:marLeft w:val="0"/>
      <w:marRight w:val="0"/>
      <w:marTop w:val="10"/>
      <w:marBottom w:val="10"/>
      <w:divBdr>
        <w:top w:val="none" w:sz="0" w:space="0" w:color="auto"/>
        <w:left w:val="none" w:sz="0" w:space="0" w:color="auto"/>
        <w:bottom w:val="none" w:sz="0" w:space="0" w:color="auto"/>
        <w:right w:val="none" w:sz="0" w:space="0" w:color="auto"/>
      </w:divBdr>
    </w:div>
    <w:div w:id="727343090">
      <w:marLeft w:val="0"/>
      <w:marRight w:val="0"/>
      <w:marTop w:val="10"/>
      <w:marBottom w:val="10"/>
      <w:divBdr>
        <w:top w:val="none" w:sz="0" w:space="0" w:color="auto"/>
        <w:left w:val="none" w:sz="0" w:space="0" w:color="auto"/>
        <w:bottom w:val="none" w:sz="0" w:space="0" w:color="auto"/>
        <w:right w:val="none" w:sz="0" w:space="0" w:color="auto"/>
      </w:divBdr>
    </w:div>
    <w:div w:id="765343152">
      <w:marLeft w:val="0"/>
      <w:marRight w:val="720"/>
      <w:marTop w:val="10"/>
      <w:marBottom w:val="10"/>
      <w:divBdr>
        <w:top w:val="none" w:sz="0" w:space="0" w:color="auto"/>
        <w:left w:val="none" w:sz="0" w:space="0" w:color="auto"/>
        <w:bottom w:val="none" w:sz="0" w:space="0" w:color="auto"/>
        <w:right w:val="none" w:sz="0" w:space="0" w:color="auto"/>
      </w:divBdr>
    </w:div>
    <w:div w:id="832183048">
      <w:marLeft w:val="0"/>
      <w:marRight w:val="0"/>
      <w:marTop w:val="10"/>
      <w:marBottom w:val="10"/>
      <w:divBdr>
        <w:top w:val="none" w:sz="0" w:space="0" w:color="auto"/>
        <w:left w:val="none" w:sz="0" w:space="0" w:color="auto"/>
        <w:bottom w:val="none" w:sz="0" w:space="0" w:color="auto"/>
        <w:right w:val="none" w:sz="0" w:space="0" w:color="auto"/>
      </w:divBdr>
    </w:div>
    <w:div w:id="1072894693">
      <w:marLeft w:val="0"/>
      <w:marRight w:val="720"/>
      <w:marTop w:val="10"/>
      <w:marBottom w:val="10"/>
      <w:divBdr>
        <w:top w:val="none" w:sz="0" w:space="0" w:color="auto"/>
        <w:left w:val="none" w:sz="0" w:space="0" w:color="auto"/>
        <w:bottom w:val="none" w:sz="0" w:space="0" w:color="auto"/>
        <w:right w:val="none" w:sz="0" w:space="0" w:color="auto"/>
      </w:divBdr>
    </w:div>
    <w:div w:id="1170604053">
      <w:marLeft w:val="0"/>
      <w:marRight w:val="720"/>
      <w:marTop w:val="10"/>
      <w:marBottom w:val="10"/>
      <w:divBdr>
        <w:top w:val="none" w:sz="0" w:space="0" w:color="auto"/>
        <w:left w:val="none" w:sz="0" w:space="0" w:color="auto"/>
        <w:bottom w:val="none" w:sz="0" w:space="0" w:color="auto"/>
        <w:right w:val="none" w:sz="0" w:space="0" w:color="auto"/>
      </w:divBdr>
    </w:div>
    <w:div w:id="1647128386">
      <w:marLeft w:val="0"/>
      <w:marRight w:val="0"/>
      <w:marTop w:val="10"/>
      <w:marBottom w:val="10"/>
      <w:divBdr>
        <w:top w:val="none" w:sz="0" w:space="0" w:color="auto"/>
        <w:left w:val="none" w:sz="0" w:space="0" w:color="auto"/>
        <w:bottom w:val="none" w:sz="0" w:space="0" w:color="auto"/>
        <w:right w:val="none" w:sz="0" w:space="0" w:color="auto"/>
      </w:divBdr>
    </w:div>
    <w:div w:id="1731928145">
      <w:marLeft w:val="0"/>
      <w:marRight w:val="720"/>
      <w:marTop w:val="10"/>
      <w:marBottom w:val="10"/>
      <w:divBdr>
        <w:top w:val="none" w:sz="0" w:space="0" w:color="auto"/>
        <w:left w:val="none" w:sz="0" w:space="0" w:color="auto"/>
        <w:bottom w:val="none" w:sz="0" w:space="0" w:color="auto"/>
        <w:right w:val="none" w:sz="0" w:space="0" w:color="auto"/>
      </w:divBdr>
    </w:div>
    <w:div w:id="1801024266">
      <w:marLeft w:val="0"/>
      <w:marRight w:val="0"/>
      <w:marTop w:val="10"/>
      <w:marBottom w:val="10"/>
      <w:divBdr>
        <w:top w:val="none" w:sz="0" w:space="0" w:color="auto"/>
        <w:left w:val="none" w:sz="0" w:space="0" w:color="auto"/>
        <w:bottom w:val="none" w:sz="0" w:space="0" w:color="auto"/>
        <w:right w:val="none" w:sz="0" w:space="0" w:color="auto"/>
      </w:divBdr>
    </w:div>
    <w:div w:id="1801533475">
      <w:marLeft w:val="0"/>
      <w:marRight w:val="720"/>
      <w:marTop w:val="10"/>
      <w:marBottom w:val="10"/>
      <w:divBdr>
        <w:top w:val="none" w:sz="0" w:space="0" w:color="auto"/>
        <w:left w:val="none" w:sz="0" w:space="0" w:color="auto"/>
        <w:bottom w:val="none" w:sz="0" w:space="0" w:color="auto"/>
        <w:right w:val="none" w:sz="0" w:space="0" w:color="auto"/>
      </w:divBdr>
    </w:div>
    <w:div w:id="1891186957">
      <w:marLeft w:val="0"/>
      <w:marRight w:val="0"/>
      <w:marTop w:val="10"/>
      <w:marBottom w:val="10"/>
      <w:divBdr>
        <w:top w:val="none" w:sz="0" w:space="0" w:color="auto"/>
        <w:left w:val="none" w:sz="0" w:space="0" w:color="auto"/>
        <w:bottom w:val="none" w:sz="0" w:space="0" w:color="auto"/>
        <w:right w:val="none" w:sz="0" w:space="0" w:color="auto"/>
      </w:divBdr>
    </w:div>
    <w:div w:id="1892424309">
      <w:marLeft w:val="0"/>
      <w:marRight w:val="0"/>
      <w:marTop w:val="10"/>
      <w:marBottom w:val="10"/>
      <w:divBdr>
        <w:top w:val="none" w:sz="0" w:space="0" w:color="auto"/>
        <w:left w:val="none" w:sz="0" w:space="0" w:color="auto"/>
        <w:bottom w:val="none" w:sz="0" w:space="0" w:color="auto"/>
        <w:right w:val="none" w:sz="0" w:space="0" w:color="auto"/>
      </w:divBdr>
    </w:div>
    <w:div w:id="21165540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