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7AC" w:rsidRDefault="009927AC">
      <w:pPr>
        <w:spacing w:line="500" w:lineRule="atLeast"/>
        <w:jc w:val="center"/>
        <w:divId w:val="2065565820"/>
        <w:rPr>
          <w:rFonts w:ascii="黑体" w:eastAsia="黑体" w:hAnsi="黑体"/>
          <w:sz w:val="36"/>
          <w:szCs w:val="36"/>
        </w:rPr>
      </w:pPr>
      <w:r>
        <w:rPr>
          <w:rFonts w:ascii="黑体" w:eastAsia="黑体" w:hAnsi="黑体" w:hint="eastAsia"/>
          <w:sz w:val="36"/>
          <w:szCs w:val="36"/>
        </w:rPr>
        <w:t>广东省广州市番禺区人民法院</w:t>
      </w:r>
    </w:p>
    <w:p w:rsidR="009927AC" w:rsidRDefault="009927AC">
      <w:pPr>
        <w:spacing w:line="500" w:lineRule="atLeast"/>
        <w:jc w:val="center"/>
        <w:divId w:val="310797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27AC" w:rsidRDefault="009927AC">
      <w:pPr>
        <w:spacing w:line="500" w:lineRule="atLeast"/>
        <w:jc w:val="right"/>
        <w:divId w:val="186648351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2194</w:t>
      </w:r>
      <w:r>
        <w:rPr>
          <w:rFonts w:hint="eastAsia"/>
          <w:sz w:val="30"/>
          <w:szCs w:val="30"/>
        </w:rPr>
        <w:t>号</w:t>
      </w:r>
    </w:p>
    <w:p w:rsidR="009927AC" w:rsidRDefault="009927AC">
      <w:pPr>
        <w:spacing w:line="500" w:lineRule="atLeast"/>
        <w:ind w:firstLine="600"/>
        <w:divId w:val="1713068233"/>
        <w:rPr>
          <w:rFonts w:hint="eastAsia"/>
          <w:sz w:val="30"/>
          <w:szCs w:val="30"/>
        </w:rPr>
      </w:pPr>
      <w:r>
        <w:rPr>
          <w:rFonts w:hint="eastAsia"/>
          <w:sz w:val="30"/>
          <w:szCs w:val="30"/>
        </w:rPr>
        <w:t>公诉机关广东省广州市番禺区人民检察院。</w:t>
      </w:r>
    </w:p>
    <w:p w:rsidR="009927AC" w:rsidRDefault="009927AC">
      <w:pPr>
        <w:spacing w:line="500" w:lineRule="atLeast"/>
        <w:ind w:firstLine="600"/>
        <w:divId w:val="1078937976"/>
        <w:rPr>
          <w:rFonts w:hint="eastAsia"/>
          <w:sz w:val="30"/>
          <w:szCs w:val="30"/>
        </w:rPr>
      </w:pPr>
      <w:r>
        <w:rPr>
          <w:rFonts w:hint="eastAsia"/>
          <w:sz w:val="30"/>
          <w:szCs w:val="30"/>
        </w:rPr>
        <w:t>被告人郭沛尧，男，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日出生，汉族，文化程度大专，原中共党员，户籍地广东省广州市南沙区，因本案于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p>
    <w:p w:rsidR="009927AC" w:rsidRDefault="009927AC">
      <w:pPr>
        <w:spacing w:line="500" w:lineRule="atLeast"/>
        <w:ind w:firstLine="600"/>
        <w:divId w:val="491335242"/>
        <w:rPr>
          <w:rFonts w:hint="eastAsia"/>
          <w:sz w:val="30"/>
          <w:szCs w:val="30"/>
        </w:rPr>
      </w:pPr>
      <w:r>
        <w:rPr>
          <w:rFonts w:hint="eastAsia"/>
          <w:sz w:val="30"/>
          <w:szCs w:val="30"/>
        </w:rPr>
        <w:t>广东省广州市番禺区人民检察院以穗番检公刑诉</w:t>
      </w:r>
      <w:r>
        <w:rPr>
          <w:rFonts w:hint="eastAsia"/>
          <w:sz w:val="30"/>
          <w:szCs w:val="30"/>
        </w:rPr>
        <w:t>[2019]1810</w:t>
      </w:r>
      <w:r>
        <w:rPr>
          <w:rFonts w:hint="eastAsia"/>
          <w:sz w:val="30"/>
          <w:szCs w:val="30"/>
        </w:rPr>
        <w:t>号起诉书指控被告人郭沛尧犯挪用公款罪，于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日向本院提起公诉。本院依法适用简易程序，并依法组成合议庭，公开开庭审理了本案。广东省广州市番禺区人民检察院检察员梁伟康出庭支持公诉，被告人郭沛尧到庭参加了诉讼。现已审理终结。</w:t>
      </w:r>
    </w:p>
    <w:p w:rsidR="009927AC" w:rsidRDefault="009927AC">
      <w:pPr>
        <w:spacing w:line="500" w:lineRule="atLeast"/>
        <w:ind w:firstLine="600"/>
        <w:divId w:val="1767924965"/>
        <w:rPr>
          <w:rFonts w:hint="eastAsia"/>
          <w:sz w:val="30"/>
          <w:szCs w:val="30"/>
        </w:rPr>
      </w:pPr>
      <w:r>
        <w:rPr>
          <w:rFonts w:hint="eastAsia"/>
          <w:sz w:val="30"/>
          <w:szCs w:val="30"/>
        </w:rPr>
        <w:t>广东省广州市番禺区人民检察院指控，被告人郭沛尧系广州市公安局南沙区分局鱼窝头派出所辅警。</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月，被告人郭沛尧作为广州市南沙保安服务有限公司鱼窝头中队实际负责人，利用负责该中队日常管理工作的职务便利，在催收广州绰霖制品有限公司缴交保安服务费时，挪用款项人民币</w:t>
      </w:r>
      <w:r>
        <w:rPr>
          <w:rFonts w:hint="eastAsia"/>
          <w:sz w:val="30"/>
          <w:szCs w:val="30"/>
        </w:rPr>
        <w:t>213800</w:t>
      </w:r>
      <w:r>
        <w:rPr>
          <w:rFonts w:hint="eastAsia"/>
          <w:sz w:val="30"/>
          <w:szCs w:val="30"/>
        </w:rPr>
        <w:t>元归个人使用，超过三个月未归还。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月，广州市公安局审计处审计发现上述挪用行为后，被告人郭沛尧通过广州绰霖制品有限公司的账户向广州市南沙保安服务有限公司归还上述款项。公诉机关就其指控的事实向本院提供了：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鉴定意见等证据证实。公诉机关认为，被告人郭沛尧无视国家法律，身为国家工作人员，利用职务便利，挪用公款归个人使用，其行为触犯了《中华人民共和国刑法》第三百八十四条之规定，犯罪事实清楚，证据确实、充分，应当以挪用公款罪追究其刑</w:t>
      </w:r>
      <w:r>
        <w:rPr>
          <w:rFonts w:hint="eastAsia"/>
          <w:sz w:val="30"/>
          <w:szCs w:val="30"/>
        </w:rPr>
        <w:lastRenderedPageBreak/>
        <w:t>事责任。被告人郭沛尧犯罪以后自动投案，如实供述自己的罪行，根据《中华人民共和国刑法》第六十七条第一款之规定，是自首，应当从轻处罚。被告人郭沛尧自愿如实供述自己的罪行，承认指控的犯罪事实，愿意接受处罚，根据《中华人民共和国刑事诉讼法》第十五条之规定，可以依法从宽处理。建议法院对被告人郭沛尧在有期徒刑一年至一年六个月的幅度内确定宣告刑，可</w:t>
      </w:r>
      <w:r>
        <w:rPr>
          <w:rFonts w:hint="eastAsia"/>
          <w:sz w:val="30"/>
          <w:szCs w:val="30"/>
        </w:rPr>
        <w:t>适用缓刑。提请本院依法判处。</w:t>
      </w:r>
    </w:p>
    <w:p w:rsidR="009927AC" w:rsidRDefault="009927AC">
      <w:pPr>
        <w:spacing w:line="500" w:lineRule="atLeast"/>
        <w:ind w:firstLine="600"/>
        <w:divId w:val="1079445044"/>
        <w:rPr>
          <w:rFonts w:hint="eastAsia"/>
          <w:sz w:val="30"/>
          <w:szCs w:val="30"/>
        </w:rPr>
      </w:pPr>
      <w:r>
        <w:rPr>
          <w:rFonts w:hint="eastAsia"/>
          <w:sz w:val="30"/>
          <w:szCs w:val="30"/>
        </w:rPr>
        <w:t>被告人郭沛尧认罪认罚。</w:t>
      </w:r>
    </w:p>
    <w:p w:rsidR="009927AC" w:rsidRDefault="009927AC">
      <w:pPr>
        <w:spacing w:line="500" w:lineRule="atLeast"/>
        <w:ind w:firstLine="600"/>
        <w:divId w:val="304742999"/>
        <w:rPr>
          <w:rFonts w:hint="eastAsia"/>
          <w:sz w:val="30"/>
          <w:szCs w:val="30"/>
        </w:rPr>
      </w:pPr>
      <w:r>
        <w:rPr>
          <w:rFonts w:hint="eastAsia"/>
          <w:sz w:val="30"/>
          <w:szCs w:val="30"/>
        </w:rPr>
        <w:t>经审理查明，被告人郭沛尧系广州市公安局南沙区分局鱼窝头派出所辅警。</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月，被告人郭沛尧作为广州市南沙保安服务有限公司鱼窝头中队实际负责人，利用负责该中队日常管理工作的职务便利，在催收广州绰霖制品有限公司缴交保安服务费时，挪用款项人民币</w:t>
      </w:r>
      <w:r>
        <w:rPr>
          <w:rFonts w:hint="eastAsia"/>
          <w:sz w:val="30"/>
          <w:szCs w:val="30"/>
        </w:rPr>
        <w:t>213800</w:t>
      </w:r>
      <w:r>
        <w:rPr>
          <w:rFonts w:hint="eastAsia"/>
          <w:sz w:val="30"/>
          <w:szCs w:val="30"/>
        </w:rPr>
        <w:t>元归个人使用，超过三个月未归还。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月，广州市公安局审计处审计发现上述挪用行为后，被告人郭沛尧通过广州绰霖制品有限公司的账户向广州市南沙保安服务有限公司归还上述款项。</w:t>
      </w:r>
    </w:p>
    <w:p w:rsidR="009927AC" w:rsidRDefault="009927AC">
      <w:pPr>
        <w:spacing w:line="500" w:lineRule="atLeast"/>
        <w:ind w:firstLine="600"/>
        <w:divId w:val="1510483552"/>
        <w:rPr>
          <w:rFonts w:hint="eastAsia"/>
          <w:sz w:val="30"/>
          <w:szCs w:val="30"/>
        </w:rPr>
      </w:pPr>
      <w:r>
        <w:rPr>
          <w:rFonts w:hint="eastAsia"/>
          <w:sz w:val="30"/>
          <w:szCs w:val="30"/>
        </w:rPr>
        <w:t>上述事实，被告人郭沛尧在庭审过程中亦无异议，且有经庭审举证质证的被告人郭沛尧的供述，证人李某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、马某</w:t>
      </w:r>
      <w:r>
        <w:rPr>
          <w:rFonts w:hint="eastAsia"/>
          <w:sz w:val="30"/>
          <w:szCs w:val="30"/>
        </w:rPr>
        <w:t>1</w:t>
      </w:r>
      <w:r>
        <w:rPr>
          <w:rFonts w:hint="eastAsia"/>
          <w:sz w:val="30"/>
          <w:szCs w:val="30"/>
        </w:rPr>
        <w:t>的证言，广州市南沙区监察委员会出具的到案经过、《关于对广州市南沙保安服务有限公司欠款有关情况的说明》、保安服务合同、费用报销单、发票、保安劳务费对账单等资料、交易明细、广州市南沙保安服务有限公司资质证明文件、番禺区公安分局劳动合同、南沙区公安分局劳动合同、辅警履历表、广州市公安局南沙区分局辞退辅警通知书、广州市公安局南沙区分局鱼窝头派出所出具情况说明、关于查询郭沛尧职责的复函、广州市南沙保安服务有限公司出具郭沛尧情况说明、关于东涌鱼窝头保安中队合并的请示、关于聘任郭沛尧同志为鱼窝头保安大队联络员的复函、关于郭沛尧同志辞去鱼窝头派出所实名制辅警职务的情况说明、记账凭证、广州市南沙保安服务有限公司的会议记录，广东诚安信会计师事务所有限公司出具粤诚审鉴</w:t>
      </w:r>
      <w:r>
        <w:rPr>
          <w:rFonts w:hint="eastAsia"/>
          <w:sz w:val="30"/>
          <w:szCs w:val="30"/>
        </w:rPr>
        <w:t>[2019]0097</w:t>
      </w:r>
      <w:r>
        <w:rPr>
          <w:rFonts w:hint="eastAsia"/>
          <w:sz w:val="30"/>
          <w:szCs w:val="30"/>
        </w:rPr>
        <w:t>号《司法专项审计报告》等证据证实，足以认定。</w:t>
      </w:r>
    </w:p>
    <w:p w:rsidR="009927AC" w:rsidRDefault="009927AC">
      <w:pPr>
        <w:spacing w:line="500" w:lineRule="atLeast"/>
        <w:ind w:firstLine="600"/>
        <w:divId w:val="1249920889"/>
        <w:rPr>
          <w:rFonts w:hint="eastAsia"/>
          <w:sz w:val="30"/>
          <w:szCs w:val="30"/>
        </w:rPr>
      </w:pPr>
      <w:r>
        <w:rPr>
          <w:rFonts w:hint="eastAsia"/>
          <w:sz w:val="30"/>
          <w:szCs w:val="30"/>
        </w:rPr>
        <w:t>本院认为，被告人郭沛尧无视国家法律，身为国家工作人员，利用职务便利，挪用公款归个人使用，其行为已构成挪用公款罪，依法应当对其适用“五年以下有期徒刑或者拘役”的量刑幅度予以处罚。公诉机关指控被告人郭沛尧犯挪用公款罪的事实清楚，证据确实、充分，指控罪名成立。被告人郭沛尧犯罪以后自动投案，如实供述自己的罪行，是自首，并自愿认罪认罚，依法可以从轻处罚。本院根据前述法定刑幅度、法定和酌定的量刑情节，并综合考虑被告人作案的具体事实、认罪态度、社会危害性等因素确定宣告刑。公诉机关关于对被告人郭沛尧判处有期徒刑一年至一年六个月，可适用缓刑的量刑意见，本院予以采纳。依照《中华人民共和国刑法》第三百八十四条、第六十七条第一款、第七十二条、第七十三条及《中华人民共和国刑事诉讼法》第十五条的规定，判决如下：</w:t>
      </w:r>
    </w:p>
    <w:p w:rsidR="009927AC" w:rsidRDefault="009927AC">
      <w:pPr>
        <w:spacing w:line="500" w:lineRule="atLeast"/>
        <w:ind w:firstLine="600"/>
        <w:divId w:val="275872131"/>
        <w:rPr>
          <w:rFonts w:hint="eastAsia"/>
          <w:sz w:val="30"/>
          <w:szCs w:val="30"/>
        </w:rPr>
      </w:pPr>
      <w:r>
        <w:rPr>
          <w:rFonts w:hint="eastAsia"/>
          <w:sz w:val="30"/>
          <w:szCs w:val="30"/>
        </w:rPr>
        <w:t>被告人郭沛尧犯挪用公款罪，判处有期徒刑一年六个月，缓刑二年（缓刑考验期限自判决确定之日起计算）。</w:t>
      </w:r>
    </w:p>
    <w:p w:rsidR="009927AC" w:rsidRDefault="009927AC">
      <w:pPr>
        <w:spacing w:line="500" w:lineRule="atLeast"/>
        <w:ind w:firstLine="600"/>
        <w:divId w:val="10907359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927AC" w:rsidRDefault="009927AC">
      <w:pPr>
        <w:spacing w:line="500" w:lineRule="atLeast"/>
        <w:jc w:val="right"/>
        <w:divId w:val="982736945"/>
        <w:rPr>
          <w:rFonts w:hint="eastAsia"/>
          <w:sz w:val="30"/>
          <w:szCs w:val="30"/>
        </w:rPr>
      </w:pPr>
      <w:r>
        <w:rPr>
          <w:rFonts w:hint="eastAsia"/>
          <w:sz w:val="30"/>
          <w:szCs w:val="30"/>
        </w:rPr>
        <w:t>审　判　长　　史靖宇</w:t>
      </w:r>
    </w:p>
    <w:p w:rsidR="009927AC" w:rsidRDefault="009927AC">
      <w:pPr>
        <w:spacing w:line="500" w:lineRule="atLeast"/>
        <w:jc w:val="right"/>
        <w:divId w:val="1798067979"/>
        <w:rPr>
          <w:rFonts w:hint="eastAsia"/>
          <w:sz w:val="30"/>
          <w:szCs w:val="30"/>
        </w:rPr>
      </w:pPr>
      <w:r>
        <w:rPr>
          <w:rFonts w:hint="eastAsia"/>
          <w:sz w:val="30"/>
          <w:szCs w:val="30"/>
        </w:rPr>
        <w:t>人民陪审员　　朱湛亮</w:t>
      </w:r>
    </w:p>
    <w:p w:rsidR="009927AC" w:rsidRDefault="009927AC">
      <w:pPr>
        <w:spacing w:line="500" w:lineRule="atLeast"/>
        <w:jc w:val="right"/>
        <w:divId w:val="1760640503"/>
        <w:rPr>
          <w:rFonts w:hint="eastAsia"/>
          <w:sz w:val="30"/>
          <w:szCs w:val="30"/>
        </w:rPr>
      </w:pPr>
      <w:r>
        <w:rPr>
          <w:rFonts w:hint="eastAsia"/>
          <w:sz w:val="30"/>
          <w:szCs w:val="30"/>
        </w:rPr>
        <w:t>人民陪审员　　刘锦卿</w:t>
      </w:r>
    </w:p>
    <w:p w:rsidR="009927AC" w:rsidRDefault="009927AC">
      <w:pPr>
        <w:spacing w:line="500" w:lineRule="atLeast"/>
        <w:jc w:val="right"/>
        <w:divId w:val="1102266087"/>
        <w:rPr>
          <w:rFonts w:hint="eastAsia"/>
          <w:sz w:val="30"/>
          <w:szCs w:val="30"/>
        </w:rPr>
      </w:pPr>
      <w:r>
        <w:rPr>
          <w:rFonts w:hint="eastAsia"/>
          <w:sz w:val="30"/>
          <w:szCs w:val="30"/>
        </w:rPr>
        <w:t>二〇二〇年一月九日</w:t>
      </w:r>
    </w:p>
    <w:p w:rsidR="009927AC" w:rsidRDefault="009927AC">
      <w:pPr>
        <w:spacing w:line="500" w:lineRule="atLeast"/>
        <w:jc w:val="right"/>
        <w:divId w:val="995914972"/>
        <w:rPr>
          <w:rFonts w:hint="eastAsia"/>
          <w:sz w:val="30"/>
          <w:szCs w:val="30"/>
        </w:rPr>
      </w:pPr>
      <w:r>
        <w:rPr>
          <w:rFonts w:hint="eastAsia"/>
          <w:sz w:val="30"/>
          <w:szCs w:val="30"/>
        </w:rPr>
        <w:t>书　记　员　　李佳欣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27AC" w:rsidRDefault="009927AC" w:rsidP="009927AC">
      <w:pPr>
        <w:rPr>
          <w:rFonts w:hint="eastAsia"/>
        </w:rPr>
      </w:pPr>
      <w:r>
        <w:separator/>
      </w:r>
    </w:p>
  </w:endnote>
  <w:endnote w:type="continuationSeparator" w:id="0">
    <w:p w:rsidR="009927AC" w:rsidRDefault="009927AC" w:rsidP="009927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27AC" w:rsidRDefault="009927AC" w:rsidP="009927AC">
      <w:pPr>
        <w:rPr>
          <w:rFonts w:hint="eastAsia"/>
        </w:rPr>
      </w:pPr>
      <w:r>
        <w:separator/>
      </w:r>
    </w:p>
  </w:footnote>
  <w:footnote w:type="continuationSeparator" w:id="0">
    <w:p w:rsidR="009927AC" w:rsidRDefault="009927AC" w:rsidP="009927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27AC"/>
    <w:rsid w:val="007235DD"/>
    <w:rsid w:val="00992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27AC"/>
    <w:pPr>
      <w:tabs>
        <w:tab w:val="center" w:pos="4153"/>
        <w:tab w:val="right" w:pos="8306"/>
      </w:tabs>
      <w:snapToGrid w:val="0"/>
      <w:jc w:val="center"/>
    </w:pPr>
    <w:rPr>
      <w:sz w:val="18"/>
      <w:szCs w:val="18"/>
    </w:rPr>
  </w:style>
  <w:style w:type="character" w:customStyle="1" w:styleId="a4">
    <w:name w:val="页眉 字符"/>
    <w:basedOn w:val="a0"/>
    <w:link w:val="a3"/>
    <w:uiPriority w:val="99"/>
    <w:rsid w:val="009927AC"/>
    <w:rPr>
      <w:rFonts w:ascii="宋体" w:eastAsia="宋体" w:hAnsi="宋体" w:cs="宋体"/>
      <w:sz w:val="18"/>
      <w:szCs w:val="18"/>
    </w:rPr>
  </w:style>
  <w:style w:type="paragraph" w:styleId="a5">
    <w:name w:val="footer"/>
    <w:basedOn w:val="a"/>
    <w:link w:val="a6"/>
    <w:uiPriority w:val="99"/>
    <w:unhideWhenUsed/>
    <w:rsid w:val="009927AC"/>
    <w:pPr>
      <w:tabs>
        <w:tab w:val="center" w:pos="4153"/>
        <w:tab w:val="right" w:pos="8306"/>
      </w:tabs>
      <w:snapToGrid w:val="0"/>
    </w:pPr>
    <w:rPr>
      <w:sz w:val="18"/>
      <w:szCs w:val="18"/>
    </w:rPr>
  </w:style>
  <w:style w:type="character" w:customStyle="1" w:styleId="a6">
    <w:name w:val="页脚 字符"/>
    <w:basedOn w:val="a0"/>
    <w:link w:val="a5"/>
    <w:uiPriority w:val="99"/>
    <w:rsid w:val="009927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715">
      <w:marLeft w:val="0"/>
      <w:marRight w:val="0"/>
      <w:marTop w:val="10"/>
      <w:marBottom w:val="10"/>
      <w:divBdr>
        <w:top w:val="none" w:sz="0" w:space="0" w:color="auto"/>
        <w:left w:val="none" w:sz="0" w:space="0" w:color="auto"/>
        <w:bottom w:val="none" w:sz="0" w:space="0" w:color="auto"/>
        <w:right w:val="none" w:sz="0" w:space="0" w:color="auto"/>
      </w:divBdr>
    </w:div>
    <w:div w:id="275872131">
      <w:marLeft w:val="0"/>
      <w:marRight w:val="0"/>
      <w:marTop w:val="10"/>
      <w:marBottom w:val="10"/>
      <w:divBdr>
        <w:top w:val="none" w:sz="0" w:space="0" w:color="auto"/>
        <w:left w:val="none" w:sz="0" w:space="0" w:color="auto"/>
        <w:bottom w:val="none" w:sz="0" w:space="0" w:color="auto"/>
        <w:right w:val="none" w:sz="0" w:space="0" w:color="auto"/>
      </w:divBdr>
    </w:div>
    <w:div w:id="304742999">
      <w:marLeft w:val="0"/>
      <w:marRight w:val="0"/>
      <w:marTop w:val="10"/>
      <w:marBottom w:val="10"/>
      <w:divBdr>
        <w:top w:val="none" w:sz="0" w:space="0" w:color="auto"/>
        <w:left w:val="none" w:sz="0" w:space="0" w:color="auto"/>
        <w:bottom w:val="none" w:sz="0" w:space="0" w:color="auto"/>
        <w:right w:val="none" w:sz="0" w:space="0" w:color="auto"/>
      </w:divBdr>
    </w:div>
    <w:div w:id="491335242">
      <w:marLeft w:val="0"/>
      <w:marRight w:val="0"/>
      <w:marTop w:val="10"/>
      <w:marBottom w:val="10"/>
      <w:divBdr>
        <w:top w:val="none" w:sz="0" w:space="0" w:color="auto"/>
        <w:left w:val="none" w:sz="0" w:space="0" w:color="auto"/>
        <w:bottom w:val="none" w:sz="0" w:space="0" w:color="auto"/>
        <w:right w:val="none" w:sz="0" w:space="0" w:color="auto"/>
      </w:divBdr>
    </w:div>
    <w:div w:id="982736945">
      <w:marLeft w:val="0"/>
      <w:marRight w:val="720"/>
      <w:marTop w:val="10"/>
      <w:marBottom w:val="10"/>
      <w:divBdr>
        <w:top w:val="none" w:sz="0" w:space="0" w:color="auto"/>
        <w:left w:val="none" w:sz="0" w:space="0" w:color="auto"/>
        <w:bottom w:val="none" w:sz="0" w:space="0" w:color="auto"/>
        <w:right w:val="none" w:sz="0" w:space="0" w:color="auto"/>
      </w:divBdr>
    </w:div>
    <w:div w:id="995914972">
      <w:marLeft w:val="0"/>
      <w:marRight w:val="720"/>
      <w:marTop w:val="10"/>
      <w:marBottom w:val="10"/>
      <w:divBdr>
        <w:top w:val="none" w:sz="0" w:space="0" w:color="auto"/>
        <w:left w:val="none" w:sz="0" w:space="0" w:color="auto"/>
        <w:bottom w:val="none" w:sz="0" w:space="0" w:color="auto"/>
        <w:right w:val="none" w:sz="0" w:space="0" w:color="auto"/>
      </w:divBdr>
    </w:div>
    <w:div w:id="1078937976">
      <w:marLeft w:val="0"/>
      <w:marRight w:val="0"/>
      <w:marTop w:val="10"/>
      <w:marBottom w:val="10"/>
      <w:divBdr>
        <w:top w:val="none" w:sz="0" w:space="0" w:color="auto"/>
        <w:left w:val="none" w:sz="0" w:space="0" w:color="auto"/>
        <w:bottom w:val="none" w:sz="0" w:space="0" w:color="auto"/>
        <w:right w:val="none" w:sz="0" w:space="0" w:color="auto"/>
      </w:divBdr>
    </w:div>
    <w:div w:id="1079445044">
      <w:marLeft w:val="0"/>
      <w:marRight w:val="0"/>
      <w:marTop w:val="10"/>
      <w:marBottom w:val="10"/>
      <w:divBdr>
        <w:top w:val="none" w:sz="0" w:space="0" w:color="auto"/>
        <w:left w:val="none" w:sz="0" w:space="0" w:color="auto"/>
        <w:bottom w:val="none" w:sz="0" w:space="0" w:color="auto"/>
        <w:right w:val="none" w:sz="0" w:space="0" w:color="auto"/>
      </w:divBdr>
    </w:div>
    <w:div w:id="1090735951">
      <w:marLeft w:val="0"/>
      <w:marRight w:val="0"/>
      <w:marTop w:val="10"/>
      <w:marBottom w:val="10"/>
      <w:divBdr>
        <w:top w:val="none" w:sz="0" w:space="0" w:color="auto"/>
        <w:left w:val="none" w:sz="0" w:space="0" w:color="auto"/>
        <w:bottom w:val="none" w:sz="0" w:space="0" w:color="auto"/>
        <w:right w:val="none" w:sz="0" w:space="0" w:color="auto"/>
      </w:divBdr>
    </w:div>
    <w:div w:id="1102266087">
      <w:marLeft w:val="0"/>
      <w:marRight w:val="720"/>
      <w:marTop w:val="10"/>
      <w:marBottom w:val="10"/>
      <w:divBdr>
        <w:top w:val="none" w:sz="0" w:space="0" w:color="auto"/>
        <w:left w:val="none" w:sz="0" w:space="0" w:color="auto"/>
        <w:bottom w:val="none" w:sz="0" w:space="0" w:color="auto"/>
        <w:right w:val="none" w:sz="0" w:space="0" w:color="auto"/>
      </w:divBdr>
    </w:div>
    <w:div w:id="1249920889">
      <w:marLeft w:val="0"/>
      <w:marRight w:val="0"/>
      <w:marTop w:val="10"/>
      <w:marBottom w:val="10"/>
      <w:divBdr>
        <w:top w:val="none" w:sz="0" w:space="0" w:color="auto"/>
        <w:left w:val="none" w:sz="0" w:space="0" w:color="auto"/>
        <w:bottom w:val="none" w:sz="0" w:space="0" w:color="auto"/>
        <w:right w:val="none" w:sz="0" w:space="0" w:color="auto"/>
      </w:divBdr>
    </w:div>
    <w:div w:id="1510483552">
      <w:marLeft w:val="0"/>
      <w:marRight w:val="0"/>
      <w:marTop w:val="10"/>
      <w:marBottom w:val="10"/>
      <w:divBdr>
        <w:top w:val="none" w:sz="0" w:space="0" w:color="auto"/>
        <w:left w:val="none" w:sz="0" w:space="0" w:color="auto"/>
        <w:bottom w:val="none" w:sz="0" w:space="0" w:color="auto"/>
        <w:right w:val="none" w:sz="0" w:space="0" w:color="auto"/>
      </w:divBdr>
    </w:div>
    <w:div w:id="1713068233">
      <w:marLeft w:val="0"/>
      <w:marRight w:val="0"/>
      <w:marTop w:val="10"/>
      <w:marBottom w:val="10"/>
      <w:divBdr>
        <w:top w:val="none" w:sz="0" w:space="0" w:color="auto"/>
        <w:left w:val="none" w:sz="0" w:space="0" w:color="auto"/>
        <w:bottom w:val="none" w:sz="0" w:space="0" w:color="auto"/>
        <w:right w:val="none" w:sz="0" w:space="0" w:color="auto"/>
      </w:divBdr>
    </w:div>
    <w:div w:id="1760640503">
      <w:marLeft w:val="0"/>
      <w:marRight w:val="720"/>
      <w:marTop w:val="10"/>
      <w:marBottom w:val="10"/>
      <w:divBdr>
        <w:top w:val="none" w:sz="0" w:space="0" w:color="auto"/>
        <w:left w:val="none" w:sz="0" w:space="0" w:color="auto"/>
        <w:bottom w:val="none" w:sz="0" w:space="0" w:color="auto"/>
        <w:right w:val="none" w:sz="0" w:space="0" w:color="auto"/>
      </w:divBdr>
    </w:div>
    <w:div w:id="1767924965">
      <w:marLeft w:val="0"/>
      <w:marRight w:val="0"/>
      <w:marTop w:val="10"/>
      <w:marBottom w:val="10"/>
      <w:divBdr>
        <w:top w:val="none" w:sz="0" w:space="0" w:color="auto"/>
        <w:left w:val="none" w:sz="0" w:space="0" w:color="auto"/>
        <w:bottom w:val="none" w:sz="0" w:space="0" w:color="auto"/>
        <w:right w:val="none" w:sz="0" w:space="0" w:color="auto"/>
      </w:divBdr>
    </w:div>
    <w:div w:id="1798067979">
      <w:marLeft w:val="0"/>
      <w:marRight w:val="720"/>
      <w:marTop w:val="10"/>
      <w:marBottom w:val="10"/>
      <w:divBdr>
        <w:top w:val="none" w:sz="0" w:space="0" w:color="auto"/>
        <w:left w:val="none" w:sz="0" w:space="0" w:color="auto"/>
        <w:bottom w:val="none" w:sz="0" w:space="0" w:color="auto"/>
        <w:right w:val="none" w:sz="0" w:space="0" w:color="auto"/>
      </w:divBdr>
    </w:div>
    <w:div w:id="1866483516">
      <w:marLeft w:val="0"/>
      <w:marRight w:val="0"/>
      <w:marTop w:val="10"/>
      <w:marBottom w:val="10"/>
      <w:divBdr>
        <w:top w:val="none" w:sz="0" w:space="0" w:color="auto"/>
        <w:left w:val="none" w:sz="0" w:space="0" w:color="auto"/>
        <w:bottom w:val="none" w:sz="0" w:space="0" w:color="auto"/>
        <w:right w:val="none" w:sz="0" w:space="0" w:color="auto"/>
      </w:divBdr>
    </w:div>
    <w:div w:id="20655658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