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B8C" w:rsidRDefault="00BA0B8C">
      <w:pPr>
        <w:spacing w:line="500" w:lineRule="atLeast"/>
        <w:jc w:val="center"/>
        <w:divId w:val="606237800"/>
        <w:rPr>
          <w:rFonts w:ascii="黑体" w:eastAsia="黑体" w:hAnsi="黑体"/>
          <w:sz w:val="36"/>
          <w:szCs w:val="36"/>
        </w:rPr>
      </w:pPr>
      <w:r>
        <w:rPr>
          <w:rFonts w:ascii="黑体" w:eastAsia="黑体" w:hAnsi="黑体" w:hint="eastAsia"/>
          <w:sz w:val="36"/>
          <w:szCs w:val="36"/>
        </w:rPr>
        <w:t>广东省紫金县人民法院</w:t>
      </w:r>
    </w:p>
    <w:p w:rsidR="00BA0B8C" w:rsidRDefault="00BA0B8C">
      <w:pPr>
        <w:spacing w:line="500" w:lineRule="atLeast"/>
        <w:jc w:val="center"/>
        <w:divId w:val="1710647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0B8C" w:rsidRDefault="00BA0B8C">
      <w:pPr>
        <w:spacing w:line="500" w:lineRule="atLeast"/>
        <w:jc w:val="right"/>
        <w:divId w:val="1270701277"/>
        <w:rPr>
          <w:rFonts w:hint="eastAsia"/>
          <w:sz w:val="30"/>
          <w:szCs w:val="30"/>
        </w:rPr>
      </w:pPr>
      <w:r>
        <w:rPr>
          <w:rFonts w:hint="eastAsia"/>
          <w:sz w:val="30"/>
          <w:szCs w:val="30"/>
        </w:rPr>
        <w:t>（</w:t>
      </w:r>
      <w:r>
        <w:rPr>
          <w:rFonts w:hint="eastAsia"/>
          <w:sz w:val="30"/>
          <w:szCs w:val="30"/>
        </w:rPr>
        <w:t>2014</w:t>
      </w:r>
      <w:r>
        <w:rPr>
          <w:rFonts w:hint="eastAsia"/>
          <w:sz w:val="30"/>
          <w:szCs w:val="30"/>
        </w:rPr>
        <w:t>）河紫法刑初字第</w:t>
      </w:r>
      <w:r>
        <w:rPr>
          <w:rFonts w:hint="eastAsia"/>
          <w:sz w:val="30"/>
          <w:szCs w:val="30"/>
        </w:rPr>
        <w:t>119</w:t>
      </w:r>
      <w:r>
        <w:rPr>
          <w:rFonts w:hint="eastAsia"/>
          <w:sz w:val="30"/>
          <w:szCs w:val="30"/>
        </w:rPr>
        <w:t>号</w:t>
      </w:r>
    </w:p>
    <w:p w:rsidR="00BA0B8C" w:rsidRDefault="00BA0B8C">
      <w:pPr>
        <w:spacing w:line="500" w:lineRule="atLeast"/>
        <w:ind w:firstLine="600"/>
        <w:divId w:val="956445972"/>
        <w:rPr>
          <w:rFonts w:hint="eastAsia"/>
          <w:sz w:val="30"/>
          <w:szCs w:val="30"/>
        </w:rPr>
      </w:pPr>
      <w:r>
        <w:rPr>
          <w:rFonts w:hint="eastAsia"/>
          <w:sz w:val="30"/>
          <w:szCs w:val="30"/>
        </w:rPr>
        <w:t>公诉机关广东省紫金县人民检察院。</w:t>
      </w:r>
    </w:p>
    <w:p w:rsidR="00BA0B8C" w:rsidRDefault="00BA0B8C">
      <w:pPr>
        <w:spacing w:line="500" w:lineRule="atLeast"/>
        <w:ind w:firstLine="600"/>
        <w:divId w:val="1713505016"/>
        <w:rPr>
          <w:rFonts w:hint="eastAsia"/>
          <w:sz w:val="30"/>
          <w:szCs w:val="30"/>
        </w:rPr>
      </w:pPr>
      <w:r>
        <w:rPr>
          <w:rFonts w:hint="eastAsia"/>
          <w:sz w:val="30"/>
          <w:szCs w:val="30"/>
        </w:rPr>
        <w:t>被告人钟某某，男，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日出生，汉族，初中文化，中共党员。因本案于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日被逮捕。现羁押于紫金县看守所。</w:t>
      </w:r>
    </w:p>
    <w:p w:rsidR="00BA0B8C" w:rsidRDefault="00BA0B8C">
      <w:pPr>
        <w:spacing w:line="500" w:lineRule="atLeast"/>
        <w:ind w:firstLine="600"/>
        <w:divId w:val="2137525792"/>
        <w:rPr>
          <w:rFonts w:hint="eastAsia"/>
          <w:sz w:val="30"/>
          <w:szCs w:val="30"/>
        </w:rPr>
      </w:pPr>
      <w:r>
        <w:rPr>
          <w:rFonts w:hint="eastAsia"/>
          <w:sz w:val="30"/>
          <w:szCs w:val="30"/>
        </w:rPr>
        <w:t>广东省紫金县人民检察院以紫检公诉刑诉（</w:t>
      </w:r>
      <w:r>
        <w:rPr>
          <w:rFonts w:hint="eastAsia"/>
          <w:sz w:val="30"/>
          <w:szCs w:val="30"/>
        </w:rPr>
        <w:t>2014</w:t>
      </w:r>
      <w:r>
        <w:rPr>
          <w:rFonts w:hint="eastAsia"/>
          <w:sz w:val="30"/>
          <w:szCs w:val="30"/>
        </w:rPr>
        <w:t>）</w:t>
      </w:r>
      <w:r>
        <w:rPr>
          <w:rFonts w:hint="eastAsia"/>
          <w:sz w:val="30"/>
          <w:szCs w:val="30"/>
        </w:rPr>
        <w:t>118</w:t>
      </w:r>
      <w:r>
        <w:rPr>
          <w:rFonts w:hint="eastAsia"/>
          <w:sz w:val="30"/>
          <w:szCs w:val="30"/>
        </w:rPr>
        <w:t>号起诉书指控被告人钟某某犯贪污罪，于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日向本院提起公诉。本院依法适用普通程序，组成合议庭，于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公开开庭审理了本案。广东省紫金县人民检察院指派检察员张兆廉出庭支持公诉，被告人钟某某到庭参加诉讼。鉴于被告人钟某某对公诉机关指控的犯罪事实及罪名均无异议，经征得控辩双方的同意，本案适用普通程序简化审的方式进行审理。现已审理终结。</w:t>
      </w:r>
    </w:p>
    <w:p w:rsidR="00BA0B8C" w:rsidRDefault="00BA0B8C">
      <w:pPr>
        <w:spacing w:line="500" w:lineRule="atLeast"/>
        <w:ind w:firstLine="600"/>
        <w:divId w:val="1913737367"/>
        <w:rPr>
          <w:rFonts w:hint="eastAsia"/>
          <w:sz w:val="30"/>
          <w:szCs w:val="30"/>
        </w:rPr>
      </w:pPr>
      <w:r>
        <w:rPr>
          <w:rFonts w:hint="eastAsia"/>
          <w:sz w:val="30"/>
          <w:szCs w:val="30"/>
        </w:rPr>
        <w:t>经审理查明，被告人钟某某在担任紫金县社会保险基金管理局待遇核发股副股长期间，于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月间，在得知本县南岭供销社职工钟某甲死亡后，利用职务便利，瞒着钟某甲家属，提供虚假材料，申报钟某甲的死亡抚恤金和丧葬费，从中侵吞公款人民币</w:t>
      </w:r>
      <w:r>
        <w:rPr>
          <w:rFonts w:hint="eastAsia"/>
          <w:sz w:val="30"/>
          <w:szCs w:val="30"/>
        </w:rPr>
        <w:t>14600</w:t>
      </w:r>
      <w:r>
        <w:rPr>
          <w:rFonts w:hint="eastAsia"/>
          <w:sz w:val="30"/>
          <w:szCs w:val="30"/>
        </w:rPr>
        <w:t>元。</w:t>
      </w:r>
    </w:p>
    <w:p w:rsidR="00BA0B8C" w:rsidRDefault="00BA0B8C">
      <w:pPr>
        <w:spacing w:line="500" w:lineRule="atLeast"/>
        <w:ind w:firstLine="600"/>
        <w:divId w:val="1476410429"/>
        <w:rPr>
          <w:rFonts w:hint="eastAsia"/>
          <w:sz w:val="30"/>
          <w:szCs w:val="30"/>
        </w:rPr>
      </w:pPr>
      <w:r>
        <w:rPr>
          <w:rFonts w:hint="eastAsia"/>
          <w:sz w:val="30"/>
          <w:szCs w:val="30"/>
        </w:rPr>
        <w:t>另查明，案发后，被告人钟某某将赃款人民币</w:t>
      </w:r>
      <w:r>
        <w:rPr>
          <w:rFonts w:hint="eastAsia"/>
          <w:sz w:val="30"/>
          <w:szCs w:val="30"/>
        </w:rPr>
        <w:t>13100</w:t>
      </w:r>
      <w:r>
        <w:rPr>
          <w:rFonts w:hint="eastAsia"/>
          <w:sz w:val="30"/>
          <w:szCs w:val="30"/>
        </w:rPr>
        <w:t>元支付给钟某甲儿子钟某乙，紫金县人民检察院从钟某乙处将上述款项予以追缴，其家属代其退清了余下赃款</w:t>
      </w:r>
      <w:r>
        <w:rPr>
          <w:rFonts w:hint="eastAsia"/>
          <w:sz w:val="30"/>
          <w:szCs w:val="30"/>
        </w:rPr>
        <w:t>1500</w:t>
      </w:r>
      <w:r>
        <w:rPr>
          <w:rFonts w:hint="eastAsia"/>
          <w:sz w:val="30"/>
          <w:szCs w:val="30"/>
        </w:rPr>
        <w:t>元。</w:t>
      </w:r>
    </w:p>
    <w:p w:rsidR="00BA0B8C" w:rsidRDefault="00BA0B8C">
      <w:pPr>
        <w:spacing w:line="500" w:lineRule="atLeast"/>
        <w:ind w:firstLine="600"/>
        <w:divId w:val="2064136505"/>
        <w:rPr>
          <w:rFonts w:hint="eastAsia"/>
          <w:sz w:val="30"/>
          <w:szCs w:val="30"/>
        </w:rPr>
      </w:pPr>
      <w:r>
        <w:rPr>
          <w:rFonts w:hint="eastAsia"/>
          <w:sz w:val="30"/>
          <w:szCs w:val="30"/>
        </w:rPr>
        <w:t>上述事实，被告人钟某某在开庭审理过程中亦无异议，并有证人钟某乙、钟某丙、叶某某、钟某丁、林某某、肖某某、陈某某证言，委托证明、火化证明、身份证复印件、</w:t>
      </w:r>
      <w:r>
        <w:rPr>
          <w:rFonts w:hint="eastAsia"/>
          <w:sz w:val="30"/>
          <w:szCs w:val="30"/>
        </w:rPr>
        <w:t>201109</w:t>
      </w:r>
      <w:r>
        <w:rPr>
          <w:rFonts w:hint="eastAsia"/>
          <w:sz w:val="30"/>
          <w:szCs w:val="30"/>
        </w:rPr>
        <w:t>死亡待遇申领人员表、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月养老保险待遇支出汇总表、银</w:t>
      </w:r>
      <w:r>
        <w:rPr>
          <w:rFonts w:hint="eastAsia"/>
          <w:sz w:val="30"/>
          <w:szCs w:val="30"/>
        </w:rPr>
        <w:lastRenderedPageBreak/>
        <w:t>行卡，紫金县社会保险基金管理局关于企业离退休人员死亡后丧葬费核发的说明、任职证明，扣押财物清单，视频资料，抓获经过，户籍资料及被告人钟某某供述等证据予以证实，足以认定。</w:t>
      </w:r>
    </w:p>
    <w:p w:rsidR="00BA0B8C" w:rsidRDefault="00BA0B8C">
      <w:pPr>
        <w:spacing w:line="500" w:lineRule="atLeast"/>
        <w:ind w:firstLine="600"/>
        <w:divId w:val="1666785238"/>
        <w:rPr>
          <w:rFonts w:hint="eastAsia"/>
          <w:sz w:val="30"/>
          <w:szCs w:val="30"/>
        </w:rPr>
      </w:pPr>
      <w:r>
        <w:rPr>
          <w:rFonts w:hint="eastAsia"/>
          <w:sz w:val="30"/>
          <w:szCs w:val="30"/>
        </w:rPr>
        <w:t>本院认为，被告人钟某某无视国家法律，身为国家工作人员，利用职务之便，采用欺骗的手段侵吞公款，数额较大，其行为已构成贪污罪，依法应予以刑罚处罚。公诉机关认定被告人钟某某退交赃款</w:t>
      </w:r>
      <w:r>
        <w:rPr>
          <w:rFonts w:hint="eastAsia"/>
          <w:sz w:val="30"/>
          <w:szCs w:val="30"/>
        </w:rPr>
        <w:t>13100</w:t>
      </w:r>
      <w:r>
        <w:rPr>
          <w:rFonts w:hint="eastAsia"/>
          <w:sz w:val="30"/>
          <w:szCs w:val="30"/>
        </w:rPr>
        <w:t>元证据不足，本院不予支持；其余指控事实清楚，证据确实、充分，本院予以支持。鉴于被告人钟某某归案后如实供述自己的犯罪事实，且大部分涉案赃款被追回、余下赃款已退清，依法对其从轻处罚。结合本案事实及被告人的犯罪情节、悔罪表现，对其适用缓刑确实不致再危害社会，决定对其适用缓刑。依照《中华人民共和国刑法》第三百八十二条第一款、第三百八十三条第（三）项、第六十七条第三款、第七十二条、第七十三条的规定，并经本院审判委员会讨论决定，判决如下：</w:t>
      </w:r>
    </w:p>
    <w:p w:rsidR="00BA0B8C" w:rsidRDefault="00BA0B8C">
      <w:pPr>
        <w:spacing w:line="500" w:lineRule="atLeast"/>
        <w:ind w:firstLine="600"/>
        <w:divId w:val="1653026218"/>
        <w:rPr>
          <w:rFonts w:hint="eastAsia"/>
          <w:sz w:val="30"/>
          <w:szCs w:val="30"/>
        </w:rPr>
      </w:pPr>
      <w:r>
        <w:rPr>
          <w:rFonts w:hint="eastAsia"/>
          <w:sz w:val="30"/>
          <w:szCs w:val="30"/>
        </w:rPr>
        <w:t>被告人钟某某犯贪污罪，判处有期徒刑一年二个月，缓刑一年六个月。</w:t>
      </w:r>
    </w:p>
    <w:p w:rsidR="00BA0B8C" w:rsidRDefault="00BA0B8C">
      <w:pPr>
        <w:spacing w:line="500" w:lineRule="atLeast"/>
        <w:ind w:firstLine="600"/>
        <w:divId w:val="1889106628"/>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BA0B8C" w:rsidRDefault="00BA0B8C">
      <w:pPr>
        <w:spacing w:line="500" w:lineRule="atLeast"/>
        <w:ind w:firstLine="600"/>
        <w:divId w:val="1779178284"/>
        <w:rPr>
          <w:rFonts w:hint="eastAsia"/>
          <w:sz w:val="30"/>
          <w:szCs w:val="30"/>
        </w:rPr>
      </w:pPr>
      <w:r>
        <w:rPr>
          <w:rFonts w:hint="eastAsia"/>
          <w:sz w:val="30"/>
          <w:szCs w:val="30"/>
        </w:rPr>
        <w:t>如不服本判决，可在接到本判决书的第二日起十日内，通过本院或者直接向广东省河源市中级人民法院提出上诉。书面上诉的，应提交上诉状正本一份，副本二份。</w:t>
      </w:r>
    </w:p>
    <w:p w:rsidR="00BA0B8C" w:rsidRDefault="00BA0B8C">
      <w:pPr>
        <w:spacing w:line="500" w:lineRule="atLeast"/>
        <w:jc w:val="right"/>
        <w:divId w:val="168059390"/>
        <w:rPr>
          <w:rFonts w:hint="eastAsia"/>
          <w:sz w:val="30"/>
          <w:szCs w:val="30"/>
        </w:rPr>
      </w:pPr>
      <w:r>
        <w:rPr>
          <w:rFonts w:hint="eastAsia"/>
          <w:sz w:val="30"/>
          <w:szCs w:val="30"/>
        </w:rPr>
        <w:t>审　判　长　　龚月恩</w:t>
      </w:r>
    </w:p>
    <w:p w:rsidR="00BA0B8C" w:rsidRDefault="00BA0B8C">
      <w:pPr>
        <w:spacing w:line="500" w:lineRule="atLeast"/>
        <w:jc w:val="right"/>
        <w:divId w:val="1758288977"/>
        <w:rPr>
          <w:rFonts w:hint="eastAsia"/>
          <w:sz w:val="30"/>
          <w:szCs w:val="30"/>
        </w:rPr>
      </w:pPr>
      <w:r>
        <w:rPr>
          <w:rFonts w:hint="eastAsia"/>
          <w:sz w:val="30"/>
          <w:szCs w:val="30"/>
        </w:rPr>
        <w:t>审　判　员　　傅卓君</w:t>
      </w:r>
    </w:p>
    <w:p w:rsidR="00BA0B8C" w:rsidRDefault="00BA0B8C">
      <w:pPr>
        <w:spacing w:line="500" w:lineRule="atLeast"/>
        <w:jc w:val="right"/>
        <w:divId w:val="713501768"/>
        <w:rPr>
          <w:rFonts w:hint="eastAsia"/>
          <w:sz w:val="30"/>
          <w:szCs w:val="30"/>
        </w:rPr>
      </w:pPr>
      <w:r>
        <w:rPr>
          <w:rFonts w:hint="eastAsia"/>
          <w:sz w:val="30"/>
          <w:szCs w:val="30"/>
        </w:rPr>
        <w:t>人民陪审员　　黄利荣</w:t>
      </w:r>
    </w:p>
    <w:p w:rsidR="00BA0B8C" w:rsidRDefault="00BA0B8C">
      <w:pPr>
        <w:spacing w:line="500" w:lineRule="atLeast"/>
        <w:jc w:val="right"/>
        <w:divId w:val="1561095685"/>
        <w:rPr>
          <w:rFonts w:hint="eastAsia"/>
          <w:sz w:val="30"/>
          <w:szCs w:val="30"/>
        </w:rPr>
      </w:pPr>
      <w:r>
        <w:rPr>
          <w:rFonts w:hint="eastAsia"/>
          <w:sz w:val="30"/>
          <w:szCs w:val="30"/>
        </w:rPr>
        <w:t>二〇一四年九月二十九日</w:t>
      </w:r>
    </w:p>
    <w:p w:rsidR="00BA0B8C" w:rsidRDefault="00BA0B8C">
      <w:pPr>
        <w:spacing w:line="500" w:lineRule="atLeast"/>
        <w:jc w:val="right"/>
        <w:divId w:val="1614746412"/>
        <w:rPr>
          <w:rFonts w:hint="eastAsia"/>
          <w:sz w:val="30"/>
          <w:szCs w:val="30"/>
        </w:rPr>
      </w:pPr>
      <w:r>
        <w:rPr>
          <w:rFonts w:hint="eastAsia"/>
          <w:sz w:val="30"/>
          <w:szCs w:val="30"/>
        </w:rPr>
        <w:t>书　记　员　　刘小艳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B8C" w:rsidRDefault="00BA0B8C" w:rsidP="00BA0B8C">
      <w:pPr>
        <w:rPr>
          <w:rFonts w:hint="eastAsia"/>
        </w:rPr>
      </w:pPr>
      <w:r>
        <w:separator/>
      </w:r>
    </w:p>
  </w:endnote>
  <w:endnote w:type="continuationSeparator" w:id="0">
    <w:p w:rsidR="00BA0B8C" w:rsidRDefault="00BA0B8C" w:rsidP="00BA0B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B8C" w:rsidRDefault="00BA0B8C" w:rsidP="00BA0B8C">
      <w:pPr>
        <w:rPr>
          <w:rFonts w:hint="eastAsia"/>
        </w:rPr>
      </w:pPr>
      <w:r>
        <w:separator/>
      </w:r>
    </w:p>
  </w:footnote>
  <w:footnote w:type="continuationSeparator" w:id="0">
    <w:p w:rsidR="00BA0B8C" w:rsidRDefault="00BA0B8C" w:rsidP="00BA0B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B8C"/>
    <w:rsid w:val="007235DD"/>
    <w:rsid w:val="00BA0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0B8C"/>
    <w:pPr>
      <w:tabs>
        <w:tab w:val="center" w:pos="4153"/>
        <w:tab w:val="right" w:pos="8306"/>
      </w:tabs>
      <w:snapToGrid w:val="0"/>
      <w:jc w:val="center"/>
    </w:pPr>
    <w:rPr>
      <w:sz w:val="18"/>
      <w:szCs w:val="18"/>
    </w:rPr>
  </w:style>
  <w:style w:type="character" w:customStyle="1" w:styleId="a4">
    <w:name w:val="页眉 字符"/>
    <w:basedOn w:val="a0"/>
    <w:link w:val="a3"/>
    <w:uiPriority w:val="99"/>
    <w:rsid w:val="00BA0B8C"/>
    <w:rPr>
      <w:rFonts w:ascii="宋体" w:eastAsia="宋体" w:hAnsi="宋体" w:cs="宋体"/>
      <w:sz w:val="18"/>
      <w:szCs w:val="18"/>
    </w:rPr>
  </w:style>
  <w:style w:type="paragraph" w:styleId="a5">
    <w:name w:val="footer"/>
    <w:basedOn w:val="a"/>
    <w:link w:val="a6"/>
    <w:uiPriority w:val="99"/>
    <w:unhideWhenUsed/>
    <w:rsid w:val="00BA0B8C"/>
    <w:pPr>
      <w:tabs>
        <w:tab w:val="center" w:pos="4153"/>
        <w:tab w:val="right" w:pos="8306"/>
      </w:tabs>
      <w:snapToGrid w:val="0"/>
    </w:pPr>
    <w:rPr>
      <w:sz w:val="18"/>
      <w:szCs w:val="18"/>
    </w:rPr>
  </w:style>
  <w:style w:type="character" w:customStyle="1" w:styleId="a6">
    <w:name w:val="页脚 字符"/>
    <w:basedOn w:val="a0"/>
    <w:link w:val="a5"/>
    <w:uiPriority w:val="99"/>
    <w:rsid w:val="00BA0B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59390">
      <w:marLeft w:val="0"/>
      <w:marRight w:val="720"/>
      <w:marTop w:val="10"/>
      <w:marBottom w:val="10"/>
      <w:divBdr>
        <w:top w:val="none" w:sz="0" w:space="0" w:color="auto"/>
        <w:left w:val="none" w:sz="0" w:space="0" w:color="auto"/>
        <w:bottom w:val="none" w:sz="0" w:space="0" w:color="auto"/>
        <w:right w:val="none" w:sz="0" w:space="0" w:color="auto"/>
      </w:divBdr>
    </w:div>
    <w:div w:id="606237800">
      <w:marLeft w:val="0"/>
      <w:marRight w:val="0"/>
      <w:marTop w:val="10"/>
      <w:marBottom w:val="10"/>
      <w:divBdr>
        <w:top w:val="none" w:sz="0" w:space="0" w:color="auto"/>
        <w:left w:val="none" w:sz="0" w:space="0" w:color="auto"/>
        <w:bottom w:val="none" w:sz="0" w:space="0" w:color="auto"/>
        <w:right w:val="none" w:sz="0" w:space="0" w:color="auto"/>
      </w:divBdr>
    </w:div>
    <w:div w:id="713501768">
      <w:marLeft w:val="0"/>
      <w:marRight w:val="720"/>
      <w:marTop w:val="10"/>
      <w:marBottom w:val="10"/>
      <w:divBdr>
        <w:top w:val="none" w:sz="0" w:space="0" w:color="auto"/>
        <w:left w:val="none" w:sz="0" w:space="0" w:color="auto"/>
        <w:bottom w:val="none" w:sz="0" w:space="0" w:color="auto"/>
        <w:right w:val="none" w:sz="0" w:space="0" w:color="auto"/>
      </w:divBdr>
    </w:div>
    <w:div w:id="956445972">
      <w:marLeft w:val="0"/>
      <w:marRight w:val="0"/>
      <w:marTop w:val="10"/>
      <w:marBottom w:val="10"/>
      <w:divBdr>
        <w:top w:val="none" w:sz="0" w:space="0" w:color="auto"/>
        <w:left w:val="none" w:sz="0" w:space="0" w:color="auto"/>
        <w:bottom w:val="none" w:sz="0" w:space="0" w:color="auto"/>
        <w:right w:val="none" w:sz="0" w:space="0" w:color="auto"/>
      </w:divBdr>
    </w:div>
    <w:div w:id="1270701277">
      <w:marLeft w:val="0"/>
      <w:marRight w:val="0"/>
      <w:marTop w:val="10"/>
      <w:marBottom w:val="10"/>
      <w:divBdr>
        <w:top w:val="none" w:sz="0" w:space="0" w:color="auto"/>
        <w:left w:val="none" w:sz="0" w:space="0" w:color="auto"/>
        <w:bottom w:val="none" w:sz="0" w:space="0" w:color="auto"/>
        <w:right w:val="none" w:sz="0" w:space="0" w:color="auto"/>
      </w:divBdr>
    </w:div>
    <w:div w:id="1476410429">
      <w:marLeft w:val="0"/>
      <w:marRight w:val="0"/>
      <w:marTop w:val="10"/>
      <w:marBottom w:val="10"/>
      <w:divBdr>
        <w:top w:val="none" w:sz="0" w:space="0" w:color="auto"/>
        <w:left w:val="none" w:sz="0" w:space="0" w:color="auto"/>
        <w:bottom w:val="none" w:sz="0" w:space="0" w:color="auto"/>
        <w:right w:val="none" w:sz="0" w:space="0" w:color="auto"/>
      </w:divBdr>
    </w:div>
    <w:div w:id="1561095685">
      <w:marLeft w:val="0"/>
      <w:marRight w:val="720"/>
      <w:marTop w:val="10"/>
      <w:marBottom w:val="10"/>
      <w:divBdr>
        <w:top w:val="none" w:sz="0" w:space="0" w:color="auto"/>
        <w:left w:val="none" w:sz="0" w:space="0" w:color="auto"/>
        <w:bottom w:val="none" w:sz="0" w:space="0" w:color="auto"/>
        <w:right w:val="none" w:sz="0" w:space="0" w:color="auto"/>
      </w:divBdr>
    </w:div>
    <w:div w:id="1614746412">
      <w:marLeft w:val="0"/>
      <w:marRight w:val="720"/>
      <w:marTop w:val="10"/>
      <w:marBottom w:val="10"/>
      <w:divBdr>
        <w:top w:val="none" w:sz="0" w:space="0" w:color="auto"/>
        <w:left w:val="none" w:sz="0" w:space="0" w:color="auto"/>
        <w:bottom w:val="none" w:sz="0" w:space="0" w:color="auto"/>
        <w:right w:val="none" w:sz="0" w:space="0" w:color="auto"/>
      </w:divBdr>
    </w:div>
    <w:div w:id="1653026218">
      <w:marLeft w:val="0"/>
      <w:marRight w:val="0"/>
      <w:marTop w:val="10"/>
      <w:marBottom w:val="10"/>
      <w:divBdr>
        <w:top w:val="none" w:sz="0" w:space="0" w:color="auto"/>
        <w:left w:val="none" w:sz="0" w:space="0" w:color="auto"/>
        <w:bottom w:val="none" w:sz="0" w:space="0" w:color="auto"/>
        <w:right w:val="none" w:sz="0" w:space="0" w:color="auto"/>
      </w:divBdr>
    </w:div>
    <w:div w:id="1666785238">
      <w:marLeft w:val="0"/>
      <w:marRight w:val="0"/>
      <w:marTop w:val="10"/>
      <w:marBottom w:val="10"/>
      <w:divBdr>
        <w:top w:val="none" w:sz="0" w:space="0" w:color="auto"/>
        <w:left w:val="none" w:sz="0" w:space="0" w:color="auto"/>
        <w:bottom w:val="none" w:sz="0" w:space="0" w:color="auto"/>
        <w:right w:val="none" w:sz="0" w:space="0" w:color="auto"/>
      </w:divBdr>
    </w:div>
    <w:div w:id="1710647479">
      <w:marLeft w:val="0"/>
      <w:marRight w:val="0"/>
      <w:marTop w:val="10"/>
      <w:marBottom w:val="10"/>
      <w:divBdr>
        <w:top w:val="none" w:sz="0" w:space="0" w:color="auto"/>
        <w:left w:val="none" w:sz="0" w:space="0" w:color="auto"/>
        <w:bottom w:val="none" w:sz="0" w:space="0" w:color="auto"/>
        <w:right w:val="none" w:sz="0" w:space="0" w:color="auto"/>
      </w:divBdr>
    </w:div>
    <w:div w:id="1713505016">
      <w:marLeft w:val="0"/>
      <w:marRight w:val="0"/>
      <w:marTop w:val="10"/>
      <w:marBottom w:val="10"/>
      <w:divBdr>
        <w:top w:val="none" w:sz="0" w:space="0" w:color="auto"/>
        <w:left w:val="none" w:sz="0" w:space="0" w:color="auto"/>
        <w:bottom w:val="none" w:sz="0" w:space="0" w:color="auto"/>
        <w:right w:val="none" w:sz="0" w:space="0" w:color="auto"/>
      </w:divBdr>
    </w:div>
    <w:div w:id="1758288977">
      <w:marLeft w:val="0"/>
      <w:marRight w:val="720"/>
      <w:marTop w:val="10"/>
      <w:marBottom w:val="10"/>
      <w:divBdr>
        <w:top w:val="none" w:sz="0" w:space="0" w:color="auto"/>
        <w:left w:val="none" w:sz="0" w:space="0" w:color="auto"/>
        <w:bottom w:val="none" w:sz="0" w:space="0" w:color="auto"/>
        <w:right w:val="none" w:sz="0" w:space="0" w:color="auto"/>
      </w:divBdr>
    </w:div>
    <w:div w:id="1779178284">
      <w:marLeft w:val="0"/>
      <w:marRight w:val="0"/>
      <w:marTop w:val="10"/>
      <w:marBottom w:val="10"/>
      <w:divBdr>
        <w:top w:val="none" w:sz="0" w:space="0" w:color="auto"/>
        <w:left w:val="none" w:sz="0" w:space="0" w:color="auto"/>
        <w:bottom w:val="none" w:sz="0" w:space="0" w:color="auto"/>
        <w:right w:val="none" w:sz="0" w:space="0" w:color="auto"/>
      </w:divBdr>
    </w:div>
    <w:div w:id="1889106628">
      <w:marLeft w:val="0"/>
      <w:marRight w:val="0"/>
      <w:marTop w:val="10"/>
      <w:marBottom w:val="10"/>
      <w:divBdr>
        <w:top w:val="none" w:sz="0" w:space="0" w:color="auto"/>
        <w:left w:val="none" w:sz="0" w:space="0" w:color="auto"/>
        <w:bottom w:val="none" w:sz="0" w:space="0" w:color="auto"/>
        <w:right w:val="none" w:sz="0" w:space="0" w:color="auto"/>
      </w:divBdr>
    </w:div>
    <w:div w:id="1913737367">
      <w:marLeft w:val="0"/>
      <w:marRight w:val="0"/>
      <w:marTop w:val="10"/>
      <w:marBottom w:val="10"/>
      <w:divBdr>
        <w:top w:val="none" w:sz="0" w:space="0" w:color="auto"/>
        <w:left w:val="none" w:sz="0" w:space="0" w:color="auto"/>
        <w:bottom w:val="none" w:sz="0" w:space="0" w:color="auto"/>
        <w:right w:val="none" w:sz="0" w:space="0" w:color="auto"/>
      </w:divBdr>
    </w:div>
    <w:div w:id="2064136505">
      <w:marLeft w:val="0"/>
      <w:marRight w:val="0"/>
      <w:marTop w:val="10"/>
      <w:marBottom w:val="10"/>
      <w:divBdr>
        <w:top w:val="none" w:sz="0" w:space="0" w:color="auto"/>
        <w:left w:val="none" w:sz="0" w:space="0" w:color="auto"/>
        <w:bottom w:val="none" w:sz="0" w:space="0" w:color="auto"/>
        <w:right w:val="none" w:sz="0" w:space="0" w:color="auto"/>
      </w:divBdr>
    </w:div>
    <w:div w:id="21375257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