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0FF2" w:rsidRDefault="000A0FF2">
      <w:pPr>
        <w:spacing w:line="500" w:lineRule="atLeast"/>
        <w:jc w:val="center"/>
        <w:divId w:val="277954757"/>
        <w:rPr>
          <w:rFonts w:ascii="黑体" w:eastAsia="黑体" w:hAnsi="黑体"/>
          <w:sz w:val="36"/>
          <w:szCs w:val="36"/>
        </w:rPr>
      </w:pPr>
      <w:r>
        <w:rPr>
          <w:rFonts w:ascii="黑体" w:eastAsia="黑体" w:hAnsi="黑体" w:hint="eastAsia"/>
          <w:sz w:val="36"/>
          <w:szCs w:val="36"/>
        </w:rPr>
        <w:t>广东省广州市番禺区人民法院</w:t>
      </w:r>
    </w:p>
    <w:p w:rsidR="000A0FF2" w:rsidRDefault="000A0FF2">
      <w:pPr>
        <w:spacing w:line="500" w:lineRule="atLeast"/>
        <w:jc w:val="center"/>
        <w:divId w:val="15727379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A0FF2" w:rsidRDefault="000A0FF2">
      <w:pPr>
        <w:spacing w:line="500" w:lineRule="atLeast"/>
        <w:jc w:val="right"/>
        <w:divId w:val="247083704"/>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1213</w:t>
      </w:r>
      <w:r>
        <w:rPr>
          <w:rFonts w:hint="eastAsia"/>
          <w:sz w:val="30"/>
          <w:szCs w:val="30"/>
        </w:rPr>
        <w:t>号</w:t>
      </w:r>
    </w:p>
    <w:p w:rsidR="000A0FF2" w:rsidRDefault="000A0FF2">
      <w:pPr>
        <w:spacing w:line="500" w:lineRule="atLeast"/>
        <w:ind w:firstLine="600"/>
        <w:divId w:val="1515269012"/>
        <w:rPr>
          <w:rFonts w:hint="eastAsia"/>
          <w:sz w:val="30"/>
          <w:szCs w:val="30"/>
        </w:rPr>
      </w:pPr>
      <w:r>
        <w:rPr>
          <w:rFonts w:hint="eastAsia"/>
          <w:sz w:val="30"/>
          <w:szCs w:val="30"/>
        </w:rPr>
        <w:t>公诉机关广州市番禺区人民检察院。</w:t>
      </w:r>
    </w:p>
    <w:p w:rsidR="000A0FF2" w:rsidRDefault="000A0FF2">
      <w:pPr>
        <w:spacing w:line="500" w:lineRule="atLeast"/>
        <w:ind w:firstLine="600"/>
        <w:divId w:val="1556232259"/>
        <w:rPr>
          <w:rFonts w:hint="eastAsia"/>
          <w:sz w:val="30"/>
          <w:szCs w:val="30"/>
        </w:rPr>
      </w:pPr>
      <w:r>
        <w:rPr>
          <w:rFonts w:hint="eastAsia"/>
          <w:sz w:val="30"/>
          <w:szCs w:val="30"/>
        </w:rPr>
        <w:t>被告人陈晋，男，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日出生，汉族，文化程度大学，原系广州市越秀区儿童医院院长，户籍地广州市海珠区，因本案于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日被羁押，同日被刑事拘留；同年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日被逮捕。现押于番禺区看守所。</w:t>
      </w:r>
    </w:p>
    <w:p w:rsidR="000A0FF2" w:rsidRDefault="000A0FF2">
      <w:pPr>
        <w:spacing w:line="500" w:lineRule="atLeast"/>
        <w:ind w:firstLine="600"/>
        <w:divId w:val="51320567"/>
        <w:rPr>
          <w:rFonts w:hint="eastAsia"/>
          <w:sz w:val="30"/>
          <w:szCs w:val="30"/>
        </w:rPr>
      </w:pPr>
      <w:r>
        <w:rPr>
          <w:rFonts w:hint="eastAsia"/>
          <w:sz w:val="30"/>
          <w:szCs w:val="30"/>
        </w:rPr>
        <w:t>辩护人刘延宇、陆洲，是广东合高律师事务所律师。</w:t>
      </w:r>
    </w:p>
    <w:p w:rsidR="000A0FF2" w:rsidRDefault="000A0FF2">
      <w:pPr>
        <w:spacing w:line="500" w:lineRule="atLeast"/>
        <w:ind w:firstLine="600"/>
        <w:divId w:val="407650796"/>
        <w:rPr>
          <w:rFonts w:hint="eastAsia"/>
          <w:sz w:val="30"/>
          <w:szCs w:val="30"/>
        </w:rPr>
      </w:pPr>
      <w:r>
        <w:rPr>
          <w:rFonts w:hint="eastAsia"/>
          <w:sz w:val="30"/>
          <w:szCs w:val="30"/>
        </w:rPr>
        <w:t>广州市番禺区人民检察院以穗番检公刑诉</w:t>
      </w:r>
      <w:r>
        <w:rPr>
          <w:rFonts w:hint="eastAsia"/>
          <w:sz w:val="30"/>
          <w:szCs w:val="30"/>
        </w:rPr>
        <w:t>[2015]1055</w:t>
      </w:r>
      <w:r>
        <w:rPr>
          <w:rFonts w:hint="eastAsia"/>
          <w:sz w:val="30"/>
          <w:szCs w:val="30"/>
        </w:rPr>
        <w:t>号起诉书指控被告人陈晋犯受贿罪，于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日向本院提起公诉。本院依法组成合议庭，公开开庭审理了本案。广州市番禺区人民检察院检察员沈慧出庭支持公诉，被告人陈晋及其辩护人刘延宇、陆洲到庭参加了诉讼。并经延期审理，现已审理终结。</w:t>
      </w:r>
    </w:p>
    <w:p w:rsidR="000A0FF2" w:rsidRDefault="000A0FF2">
      <w:pPr>
        <w:spacing w:line="500" w:lineRule="atLeast"/>
        <w:ind w:firstLine="600"/>
        <w:divId w:val="213396108"/>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月间，被告人陈晋在担任越秀区儿童医院院长负责该医院全面工作期间，利用职务便利，放松对个体药品销售商陈某（已判决）代理药品的监管，为陈某谋取利益，分多次收受陈某贿送的款项共计人民币</w:t>
      </w:r>
      <w:r>
        <w:rPr>
          <w:rFonts w:hint="eastAsia"/>
          <w:sz w:val="30"/>
          <w:szCs w:val="30"/>
        </w:rPr>
        <w:t>18</w:t>
      </w:r>
      <w:r>
        <w:rPr>
          <w:rFonts w:hint="eastAsia"/>
          <w:sz w:val="30"/>
          <w:szCs w:val="30"/>
        </w:rPr>
        <w:t>万元。公诉机关认为，被告人陈晋无视国家法律，身为国家工作人员，利用职务上的便利，非法收受他人财物，为他人谋取利益，其行为触犯了《中华人民共和国刑法》第三百八十五条、第三百八十六条，犯罪事实清楚，证据确实、充分，应当以受贿罪追究其刑事责任。被告人陈晋犯罪以后自动投案，如实供述自己的罪行，根据《中华人民共和国刑法》第六十七条第一款的规定，是自首，可以从轻或者减轻处罚。提请本院依法判处。</w:t>
      </w:r>
    </w:p>
    <w:p w:rsidR="000A0FF2" w:rsidRDefault="000A0FF2">
      <w:pPr>
        <w:spacing w:line="500" w:lineRule="atLeast"/>
        <w:ind w:firstLine="600"/>
        <w:divId w:val="1590000077"/>
        <w:rPr>
          <w:rFonts w:hint="eastAsia"/>
          <w:sz w:val="30"/>
          <w:szCs w:val="30"/>
        </w:rPr>
      </w:pPr>
      <w:r>
        <w:rPr>
          <w:rFonts w:hint="eastAsia"/>
          <w:sz w:val="30"/>
          <w:szCs w:val="30"/>
        </w:rPr>
        <w:lastRenderedPageBreak/>
        <w:t>被告人陈晋承认控罪。</w:t>
      </w:r>
    </w:p>
    <w:p w:rsidR="000A0FF2" w:rsidRDefault="000A0FF2">
      <w:pPr>
        <w:spacing w:line="500" w:lineRule="atLeast"/>
        <w:ind w:firstLine="600"/>
        <w:divId w:val="1353336710"/>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、被告人有立功表现。</w:t>
      </w:r>
      <w:r>
        <w:rPr>
          <w:rFonts w:hint="eastAsia"/>
          <w:sz w:val="30"/>
          <w:szCs w:val="30"/>
        </w:rPr>
        <w:t>3</w:t>
      </w:r>
      <w:r>
        <w:rPr>
          <w:rFonts w:hint="eastAsia"/>
          <w:sz w:val="30"/>
          <w:szCs w:val="30"/>
        </w:rPr>
        <w:t>、被告人无索贿的情节。</w:t>
      </w:r>
      <w:r>
        <w:rPr>
          <w:rFonts w:hint="eastAsia"/>
          <w:sz w:val="30"/>
          <w:szCs w:val="30"/>
        </w:rPr>
        <w:t>4</w:t>
      </w:r>
      <w:r>
        <w:rPr>
          <w:rFonts w:hint="eastAsia"/>
          <w:sz w:val="30"/>
          <w:szCs w:val="30"/>
        </w:rPr>
        <w:t>、被告人犯罪的主观恶性不深，也没有为行贿人谋取不正当利益。</w:t>
      </w:r>
      <w:r>
        <w:rPr>
          <w:rFonts w:hint="eastAsia"/>
          <w:sz w:val="30"/>
          <w:szCs w:val="30"/>
        </w:rPr>
        <w:t>5</w:t>
      </w:r>
      <w:r>
        <w:rPr>
          <w:rFonts w:hint="eastAsia"/>
          <w:sz w:val="30"/>
          <w:szCs w:val="30"/>
        </w:rPr>
        <w:t>、被告人的行为没有造成特别重大的危害后果，也没有造成特别恶劣的社会影响。</w:t>
      </w:r>
      <w:r>
        <w:rPr>
          <w:rFonts w:hint="eastAsia"/>
          <w:sz w:val="30"/>
          <w:szCs w:val="30"/>
        </w:rPr>
        <w:t>6</w:t>
      </w:r>
      <w:r>
        <w:rPr>
          <w:rFonts w:hint="eastAsia"/>
          <w:sz w:val="30"/>
          <w:szCs w:val="30"/>
        </w:rPr>
        <w:t>、被告人已退赃。综上所述，恳请法庭对被告人减轻处罚。</w:t>
      </w:r>
    </w:p>
    <w:p w:rsidR="000A0FF2" w:rsidRDefault="000A0FF2">
      <w:pPr>
        <w:spacing w:line="500" w:lineRule="atLeast"/>
        <w:ind w:firstLine="600"/>
        <w:divId w:val="1786849403"/>
        <w:rPr>
          <w:rFonts w:hint="eastAsia"/>
          <w:sz w:val="30"/>
          <w:szCs w:val="30"/>
        </w:rPr>
      </w:pPr>
      <w:r>
        <w:rPr>
          <w:rFonts w:hint="eastAsia"/>
          <w:sz w:val="30"/>
          <w:szCs w:val="30"/>
        </w:rPr>
        <w:t>辩护人提交的证据：</w:t>
      </w:r>
      <w:r>
        <w:rPr>
          <w:rFonts w:hint="eastAsia"/>
          <w:sz w:val="30"/>
          <w:szCs w:val="30"/>
        </w:rPr>
        <w:t>1</w:t>
      </w:r>
      <w:r>
        <w:rPr>
          <w:rFonts w:hint="eastAsia"/>
          <w:sz w:val="30"/>
          <w:szCs w:val="30"/>
        </w:rPr>
        <w:t>、药品采购计划表，证明被告人对陈某代理的药品采购量的监管力度并非无限放松，对采购的总量有删除和减少。</w:t>
      </w:r>
      <w:r>
        <w:rPr>
          <w:rFonts w:hint="eastAsia"/>
          <w:sz w:val="30"/>
          <w:szCs w:val="30"/>
        </w:rPr>
        <w:t>2</w:t>
      </w:r>
      <w:r>
        <w:rPr>
          <w:rFonts w:hint="eastAsia"/>
          <w:sz w:val="30"/>
          <w:szCs w:val="30"/>
        </w:rPr>
        <w:t>、质量控制月报中的“本月不合理用药”，证明被告人对陈某代理的药品是有监管的。</w:t>
      </w:r>
      <w:r>
        <w:rPr>
          <w:rFonts w:hint="eastAsia"/>
          <w:sz w:val="30"/>
          <w:szCs w:val="30"/>
        </w:rPr>
        <w:t>3</w:t>
      </w:r>
      <w:r>
        <w:rPr>
          <w:rFonts w:hint="eastAsia"/>
          <w:sz w:val="30"/>
          <w:szCs w:val="30"/>
        </w:rPr>
        <w:t>、关于陈晋揭发他人犯罪的线索是否查证属实的询问函及快递回执、网上报道，证明被告人向检察机关提供了他人的犯罪线索。</w:t>
      </w:r>
      <w:r>
        <w:rPr>
          <w:rFonts w:hint="eastAsia"/>
          <w:sz w:val="30"/>
          <w:szCs w:val="30"/>
        </w:rPr>
        <w:t>4</w:t>
      </w:r>
      <w:r>
        <w:rPr>
          <w:rFonts w:hint="eastAsia"/>
          <w:sz w:val="30"/>
          <w:szCs w:val="30"/>
        </w:rPr>
        <w:t>、提讯、提解证，证明番禺区检察院</w:t>
      </w:r>
      <w:r>
        <w:rPr>
          <w:rFonts w:hint="eastAsia"/>
          <w:sz w:val="30"/>
          <w:szCs w:val="30"/>
        </w:rPr>
        <w:t>4</w:t>
      </w:r>
      <w:r>
        <w:rPr>
          <w:rFonts w:hint="eastAsia"/>
          <w:sz w:val="30"/>
          <w:szCs w:val="30"/>
        </w:rPr>
        <w:t>次提审被告人核实揭发他人的犯罪线索。</w:t>
      </w:r>
      <w:r>
        <w:rPr>
          <w:rFonts w:hint="eastAsia"/>
          <w:sz w:val="30"/>
          <w:szCs w:val="30"/>
        </w:rPr>
        <w:t>5</w:t>
      </w:r>
      <w:r>
        <w:rPr>
          <w:rFonts w:hint="eastAsia"/>
          <w:sz w:val="30"/>
          <w:szCs w:val="30"/>
        </w:rPr>
        <w:t>、被告人自书的举报情况说明，证明被告人陈晋向检察院揭发他人犯罪的线索。</w:t>
      </w:r>
      <w:r>
        <w:rPr>
          <w:rFonts w:hint="eastAsia"/>
          <w:sz w:val="30"/>
          <w:szCs w:val="30"/>
        </w:rPr>
        <w:t>6</w:t>
      </w:r>
      <w:r>
        <w:rPr>
          <w:rFonts w:hint="eastAsia"/>
          <w:sz w:val="30"/>
          <w:szCs w:val="30"/>
        </w:rPr>
        <w:t>、收据，证明被告人退赃的情况。</w:t>
      </w:r>
    </w:p>
    <w:p w:rsidR="000A0FF2" w:rsidRDefault="000A0FF2">
      <w:pPr>
        <w:spacing w:line="500" w:lineRule="atLeast"/>
        <w:ind w:firstLine="600"/>
        <w:divId w:val="1916703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月间，被告人陈晋在担任越秀区儿童医院院长负责该医院全面工作期间，利用职务便利，放松对个体药品销售商陈某（已判决）代理药品的监管，为陈某谋取利益，分多次收受陈某贿送的款项共计人民币</w:t>
      </w:r>
      <w:r>
        <w:rPr>
          <w:rFonts w:hint="eastAsia"/>
          <w:sz w:val="30"/>
          <w:szCs w:val="30"/>
        </w:rPr>
        <w:t>18</w:t>
      </w:r>
      <w:r>
        <w:rPr>
          <w:rFonts w:hint="eastAsia"/>
          <w:sz w:val="30"/>
          <w:szCs w:val="30"/>
        </w:rPr>
        <w:t>万元。</w:t>
      </w:r>
    </w:p>
    <w:p w:rsidR="000A0FF2" w:rsidRDefault="000A0FF2">
      <w:pPr>
        <w:spacing w:line="500" w:lineRule="atLeast"/>
        <w:ind w:firstLine="600"/>
        <w:divId w:val="1087732601"/>
        <w:rPr>
          <w:rFonts w:hint="eastAsia"/>
          <w:sz w:val="30"/>
          <w:szCs w:val="30"/>
        </w:rPr>
      </w:pPr>
      <w:r>
        <w:rPr>
          <w:rFonts w:hint="eastAsia"/>
          <w:sz w:val="30"/>
          <w:szCs w:val="30"/>
        </w:rPr>
        <w:t>案发后，被告人陈晋退出赃款人民币</w:t>
      </w:r>
      <w:r>
        <w:rPr>
          <w:rFonts w:hint="eastAsia"/>
          <w:sz w:val="30"/>
          <w:szCs w:val="30"/>
        </w:rPr>
        <w:t>180000</w:t>
      </w:r>
      <w:r>
        <w:rPr>
          <w:rFonts w:hint="eastAsia"/>
          <w:sz w:val="30"/>
          <w:szCs w:val="30"/>
        </w:rPr>
        <w:t>元。</w:t>
      </w:r>
    </w:p>
    <w:p w:rsidR="000A0FF2" w:rsidRDefault="000A0FF2">
      <w:pPr>
        <w:spacing w:line="500" w:lineRule="atLeast"/>
        <w:ind w:firstLine="600"/>
        <w:divId w:val="1893880695"/>
        <w:rPr>
          <w:rFonts w:hint="eastAsia"/>
          <w:sz w:val="30"/>
          <w:szCs w:val="30"/>
        </w:rPr>
      </w:pPr>
      <w:r>
        <w:rPr>
          <w:rFonts w:hint="eastAsia"/>
          <w:sz w:val="30"/>
          <w:szCs w:val="30"/>
        </w:rPr>
        <w:t>上述事实，被告人陈晋在庭审中亦无异议，并有证人陈某、魏某的证言，被告人陈晋的供述，干部履历及卫生部门证明，越秀区儿童医院的药品销售合同，医院入库单，同步录音录像，破案经过等证据证实，足以认定。</w:t>
      </w:r>
    </w:p>
    <w:p w:rsidR="000A0FF2" w:rsidRDefault="000A0FF2">
      <w:pPr>
        <w:spacing w:line="500" w:lineRule="atLeast"/>
        <w:ind w:firstLine="600"/>
        <w:divId w:val="578904566"/>
        <w:rPr>
          <w:rFonts w:hint="eastAsia"/>
          <w:sz w:val="30"/>
          <w:szCs w:val="30"/>
        </w:rPr>
      </w:pPr>
      <w:r>
        <w:rPr>
          <w:rFonts w:hint="eastAsia"/>
          <w:sz w:val="30"/>
          <w:szCs w:val="30"/>
        </w:rPr>
        <w:t>对于辩护人提出被告人有立功情节的辩护意见。经查，公诉机关复函被告人检举的线索未能查证属实或依法不能认定为检举揭发，故辩护人的该点意见本院不予采纳，但对于被告人主动检举交代的行为本院在量刑时予以考虑；辩护人提出的其他辩护意见符合本案事实，本院予以采纳。</w:t>
      </w:r>
    </w:p>
    <w:p w:rsidR="000A0FF2" w:rsidRDefault="000A0FF2">
      <w:pPr>
        <w:spacing w:line="500" w:lineRule="atLeast"/>
        <w:ind w:firstLine="600"/>
        <w:divId w:val="1376537889"/>
        <w:rPr>
          <w:rFonts w:hint="eastAsia"/>
          <w:sz w:val="30"/>
          <w:szCs w:val="30"/>
        </w:rPr>
      </w:pPr>
      <w:r>
        <w:rPr>
          <w:rFonts w:hint="eastAsia"/>
          <w:sz w:val="30"/>
          <w:szCs w:val="30"/>
        </w:rPr>
        <w:t>本院认为，被告人陈晋无视国家法律，身为国家工作人员，利用职务上的便利，非法收受他人财物，为他人谋取利益，其行为已构成受贿罪。依法应当对其适用“三年以下有期徒刑或者拘役”的量刑幅度予以处罚。鉴于被告人陈晋在犯罪以后自动投案，如实供述自己的罪行，是自首，并且退出全部赃款，可以从轻处罚。本院根据前述法定刑幅度、法定的量刑情节、酌定的量刑情节，并综合考虑被告人犯罪的具体事实、认罪态度等因素确定宣告刑。依照《中华人民共和国刑法》第三百八十五条、第三百八十六条、第三百八十三条第一款第（一）项、第六十四条、第六十七条第一款和《最高人民法院关于处理自首和立功具体应用法律若干问题的解释》第一条、第三条的规定，判决如下：</w:t>
      </w:r>
    </w:p>
    <w:p w:rsidR="000A0FF2" w:rsidRDefault="000A0FF2">
      <w:pPr>
        <w:spacing w:line="500" w:lineRule="atLeast"/>
        <w:ind w:firstLine="600"/>
        <w:divId w:val="291834362"/>
        <w:rPr>
          <w:rFonts w:hint="eastAsia"/>
          <w:sz w:val="30"/>
          <w:szCs w:val="30"/>
        </w:rPr>
      </w:pPr>
      <w:r>
        <w:rPr>
          <w:rFonts w:hint="eastAsia"/>
          <w:sz w:val="30"/>
          <w:szCs w:val="30"/>
        </w:rPr>
        <w:t>一、被告人陈晋犯受贿罪，判处有期徒刑一年六个月</w:t>
      </w:r>
      <w:r>
        <w:rPr>
          <w:rFonts w:hint="eastAsia"/>
          <w:sz w:val="30"/>
          <w:szCs w:val="30"/>
        </w:rPr>
        <w:t>,</w:t>
      </w:r>
      <w:r>
        <w:rPr>
          <w:rFonts w:hint="eastAsia"/>
          <w:sz w:val="30"/>
          <w:szCs w:val="30"/>
        </w:rPr>
        <w:t>并处罚金十一万元（刑期从判决执行之日起计算。判决执行以前先行羁押的，羁押一日折抵刑期一日，即刑期自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日止；罚金应于本判决发生法律效力起十日内缴纳，上缴国库）。</w:t>
      </w:r>
    </w:p>
    <w:p w:rsidR="000A0FF2" w:rsidRDefault="000A0FF2">
      <w:pPr>
        <w:spacing w:line="500" w:lineRule="atLeast"/>
        <w:ind w:firstLine="600"/>
        <w:divId w:val="967857677"/>
        <w:rPr>
          <w:rFonts w:hint="eastAsia"/>
          <w:sz w:val="30"/>
          <w:szCs w:val="30"/>
        </w:rPr>
      </w:pPr>
      <w:r>
        <w:rPr>
          <w:rFonts w:hint="eastAsia"/>
          <w:sz w:val="30"/>
          <w:szCs w:val="30"/>
        </w:rPr>
        <w:t>二、被告人陈晋退出赃款人民币</w:t>
      </w:r>
      <w:r>
        <w:rPr>
          <w:rFonts w:hint="eastAsia"/>
          <w:sz w:val="30"/>
          <w:szCs w:val="30"/>
        </w:rPr>
        <w:t>180000</w:t>
      </w:r>
      <w:r>
        <w:rPr>
          <w:rFonts w:hint="eastAsia"/>
          <w:sz w:val="30"/>
          <w:szCs w:val="30"/>
        </w:rPr>
        <w:t>元，予以没收上缴国库（该款现存于广州市番禺区人民法院）。</w:t>
      </w:r>
    </w:p>
    <w:p w:rsidR="000A0FF2" w:rsidRDefault="000A0FF2">
      <w:pPr>
        <w:spacing w:line="500" w:lineRule="atLeast"/>
        <w:ind w:firstLine="600"/>
        <w:divId w:val="1310748138"/>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0A0FF2" w:rsidRDefault="000A0FF2">
      <w:pPr>
        <w:spacing w:line="500" w:lineRule="atLeast"/>
        <w:jc w:val="right"/>
        <w:divId w:val="1382753830"/>
        <w:rPr>
          <w:rFonts w:hint="eastAsia"/>
          <w:sz w:val="30"/>
          <w:szCs w:val="30"/>
        </w:rPr>
      </w:pPr>
      <w:r>
        <w:rPr>
          <w:rFonts w:hint="eastAsia"/>
          <w:sz w:val="30"/>
          <w:szCs w:val="30"/>
        </w:rPr>
        <w:t>审　判　长　　张志文</w:t>
      </w:r>
    </w:p>
    <w:p w:rsidR="000A0FF2" w:rsidRDefault="000A0FF2">
      <w:pPr>
        <w:spacing w:line="500" w:lineRule="atLeast"/>
        <w:jc w:val="right"/>
        <w:divId w:val="405154694"/>
        <w:rPr>
          <w:rFonts w:hint="eastAsia"/>
          <w:sz w:val="30"/>
          <w:szCs w:val="30"/>
        </w:rPr>
      </w:pPr>
      <w:r>
        <w:rPr>
          <w:rFonts w:hint="eastAsia"/>
          <w:sz w:val="30"/>
          <w:szCs w:val="30"/>
        </w:rPr>
        <w:t>人民陪审员　　吴健周</w:t>
      </w:r>
    </w:p>
    <w:p w:rsidR="000A0FF2" w:rsidRDefault="000A0FF2">
      <w:pPr>
        <w:spacing w:line="500" w:lineRule="atLeast"/>
        <w:jc w:val="right"/>
        <w:divId w:val="1232620164"/>
        <w:rPr>
          <w:rFonts w:hint="eastAsia"/>
          <w:sz w:val="30"/>
          <w:szCs w:val="30"/>
        </w:rPr>
      </w:pPr>
      <w:r>
        <w:rPr>
          <w:rFonts w:hint="eastAsia"/>
          <w:sz w:val="30"/>
          <w:szCs w:val="30"/>
        </w:rPr>
        <w:t>人民陪审员　　梁俊垣</w:t>
      </w:r>
    </w:p>
    <w:p w:rsidR="000A0FF2" w:rsidRDefault="000A0FF2">
      <w:pPr>
        <w:spacing w:line="500" w:lineRule="atLeast"/>
        <w:jc w:val="right"/>
        <w:divId w:val="1186481371"/>
        <w:rPr>
          <w:rFonts w:hint="eastAsia"/>
          <w:sz w:val="30"/>
          <w:szCs w:val="30"/>
        </w:rPr>
      </w:pPr>
      <w:r>
        <w:rPr>
          <w:rFonts w:hint="eastAsia"/>
          <w:sz w:val="30"/>
          <w:szCs w:val="30"/>
        </w:rPr>
        <w:t>二〇一六年六月三日</w:t>
      </w:r>
    </w:p>
    <w:p w:rsidR="000A0FF2" w:rsidRDefault="000A0FF2">
      <w:pPr>
        <w:spacing w:line="500" w:lineRule="atLeast"/>
        <w:jc w:val="right"/>
        <w:divId w:val="825778840"/>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0FF2" w:rsidRDefault="000A0FF2" w:rsidP="000A0FF2">
      <w:pPr>
        <w:rPr>
          <w:rFonts w:hint="eastAsia"/>
        </w:rPr>
      </w:pPr>
      <w:r>
        <w:separator/>
      </w:r>
    </w:p>
  </w:endnote>
  <w:endnote w:type="continuationSeparator" w:id="0">
    <w:p w:rsidR="000A0FF2" w:rsidRDefault="000A0FF2" w:rsidP="000A0F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0FF2" w:rsidRDefault="000A0FF2" w:rsidP="000A0FF2">
      <w:pPr>
        <w:rPr>
          <w:rFonts w:hint="eastAsia"/>
        </w:rPr>
      </w:pPr>
      <w:r>
        <w:separator/>
      </w:r>
    </w:p>
  </w:footnote>
  <w:footnote w:type="continuationSeparator" w:id="0">
    <w:p w:rsidR="000A0FF2" w:rsidRDefault="000A0FF2" w:rsidP="000A0F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0FF2"/>
    <w:rsid w:val="000A0FF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0FF2"/>
    <w:pPr>
      <w:tabs>
        <w:tab w:val="center" w:pos="4153"/>
        <w:tab w:val="right" w:pos="8306"/>
      </w:tabs>
      <w:snapToGrid w:val="0"/>
      <w:jc w:val="center"/>
    </w:pPr>
    <w:rPr>
      <w:sz w:val="18"/>
      <w:szCs w:val="18"/>
    </w:rPr>
  </w:style>
  <w:style w:type="character" w:customStyle="1" w:styleId="a4">
    <w:name w:val="页眉 字符"/>
    <w:basedOn w:val="a0"/>
    <w:link w:val="a3"/>
    <w:uiPriority w:val="99"/>
    <w:rsid w:val="000A0FF2"/>
    <w:rPr>
      <w:rFonts w:ascii="宋体" w:eastAsia="宋体" w:hAnsi="宋体" w:cs="宋体"/>
      <w:sz w:val="18"/>
      <w:szCs w:val="18"/>
    </w:rPr>
  </w:style>
  <w:style w:type="paragraph" w:styleId="a5">
    <w:name w:val="footer"/>
    <w:basedOn w:val="a"/>
    <w:link w:val="a6"/>
    <w:uiPriority w:val="99"/>
    <w:unhideWhenUsed/>
    <w:rsid w:val="000A0FF2"/>
    <w:pPr>
      <w:tabs>
        <w:tab w:val="center" w:pos="4153"/>
        <w:tab w:val="right" w:pos="8306"/>
      </w:tabs>
      <w:snapToGrid w:val="0"/>
    </w:pPr>
    <w:rPr>
      <w:sz w:val="18"/>
      <w:szCs w:val="18"/>
    </w:rPr>
  </w:style>
  <w:style w:type="character" w:customStyle="1" w:styleId="a6">
    <w:name w:val="页脚 字符"/>
    <w:basedOn w:val="a0"/>
    <w:link w:val="a5"/>
    <w:uiPriority w:val="99"/>
    <w:rsid w:val="000A0F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7038">
      <w:marLeft w:val="0"/>
      <w:marRight w:val="0"/>
      <w:marTop w:val="10"/>
      <w:marBottom w:val="10"/>
      <w:divBdr>
        <w:top w:val="none" w:sz="0" w:space="0" w:color="auto"/>
        <w:left w:val="none" w:sz="0" w:space="0" w:color="auto"/>
        <w:bottom w:val="none" w:sz="0" w:space="0" w:color="auto"/>
        <w:right w:val="none" w:sz="0" w:space="0" w:color="auto"/>
      </w:divBdr>
    </w:div>
    <w:div w:id="51320567">
      <w:marLeft w:val="0"/>
      <w:marRight w:val="0"/>
      <w:marTop w:val="10"/>
      <w:marBottom w:val="10"/>
      <w:divBdr>
        <w:top w:val="none" w:sz="0" w:space="0" w:color="auto"/>
        <w:left w:val="none" w:sz="0" w:space="0" w:color="auto"/>
        <w:bottom w:val="none" w:sz="0" w:space="0" w:color="auto"/>
        <w:right w:val="none" w:sz="0" w:space="0" w:color="auto"/>
      </w:divBdr>
    </w:div>
    <w:div w:id="213396108">
      <w:marLeft w:val="0"/>
      <w:marRight w:val="0"/>
      <w:marTop w:val="10"/>
      <w:marBottom w:val="10"/>
      <w:divBdr>
        <w:top w:val="none" w:sz="0" w:space="0" w:color="auto"/>
        <w:left w:val="none" w:sz="0" w:space="0" w:color="auto"/>
        <w:bottom w:val="none" w:sz="0" w:space="0" w:color="auto"/>
        <w:right w:val="none" w:sz="0" w:space="0" w:color="auto"/>
      </w:divBdr>
    </w:div>
    <w:div w:id="247083704">
      <w:marLeft w:val="0"/>
      <w:marRight w:val="0"/>
      <w:marTop w:val="10"/>
      <w:marBottom w:val="10"/>
      <w:divBdr>
        <w:top w:val="none" w:sz="0" w:space="0" w:color="auto"/>
        <w:left w:val="none" w:sz="0" w:space="0" w:color="auto"/>
        <w:bottom w:val="none" w:sz="0" w:space="0" w:color="auto"/>
        <w:right w:val="none" w:sz="0" w:space="0" w:color="auto"/>
      </w:divBdr>
    </w:div>
    <w:div w:id="277954757">
      <w:marLeft w:val="0"/>
      <w:marRight w:val="0"/>
      <w:marTop w:val="10"/>
      <w:marBottom w:val="10"/>
      <w:divBdr>
        <w:top w:val="none" w:sz="0" w:space="0" w:color="auto"/>
        <w:left w:val="none" w:sz="0" w:space="0" w:color="auto"/>
        <w:bottom w:val="none" w:sz="0" w:space="0" w:color="auto"/>
        <w:right w:val="none" w:sz="0" w:space="0" w:color="auto"/>
      </w:divBdr>
    </w:div>
    <w:div w:id="291834362">
      <w:marLeft w:val="0"/>
      <w:marRight w:val="0"/>
      <w:marTop w:val="10"/>
      <w:marBottom w:val="10"/>
      <w:divBdr>
        <w:top w:val="none" w:sz="0" w:space="0" w:color="auto"/>
        <w:left w:val="none" w:sz="0" w:space="0" w:color="auto"/>
        <w:bottom w:val="none" w:sz="0" w:space="0" w:color="auto"/>
        <w:right w:val="none" w:sz="0" w:space="0" w:color="auto"/>
      </w:divBdr>
    </w:div>
    <w:div w:id="405154694">
      <w:marLeft w:val="0"/>
      <w:marRight w:val="720"/>
      <w:marTop w:val="10"/>
      <w:marBottom w:val="10"/>
      <w:divBdr>
        <w:top w:val="none" w:sz="0" w:space="0" w:color="auto"/>
        <w:left w:val="none" w:sz="0" w:space="0" w:color="auto"/>
        <w:bottom w:val="none" w:sz="0" w:space="0" w:color="auto"/>
        <w:right w:val="none" w:sz="0" w:space="0" w:color="auto"/>
      </w:divBdr>
    </w:div>
    <w:div w:id="407650796">
      <w:marLeft w:val="0"/>
      <w:marRight w:val="0"/>
      <w:marTop w:val="10"/>
      <w:marBottom w:val="10"/>
      <w:divBdr>
        <w:top w:val="none" w:sz="0" w:space="0" w:color="auto"/>
        <w:left w:val="none" w:sz="0" w:space="0" w:color="auto"/>
        <w:bottom w:val="none" w:sz="0" w:space="0" w:color="auto"/>
        <w:right w:val="none" w:sz="0" w:space="0" w:color="auto"/>
      </w:divBdr>
    </w:div>
    <w:div w:id="578904566">
      <w:marLeft w:val="0"/>
      <w:marRight w:val="0"/>
      <w:marTop w:val="10"/>
      <w:marBottom w:val="10"/>
      <w:divBdr>
        <w:top w:val="none" w:sz="0" w:space="0" w:color="auto"/>
        <w:left w:val="none" w:sz="0" w:space="0" w:color="auto"/>
        <w:bottom w:val="none" w:sz="0" w:space="0" w:color="auto"/>
        <w:right w:val="none" w:sz="0" w:space="0" w:color="auto"/>
      </w:divBdr>
    </w:div>
    <w:div w:id="825778840">
      <w:marLeft w:val="0"/>
      <w:marRight w:val="720"/>
      <w:marTop w:val="10"/>
      <w:marBottom w:val="10"/>
      <w:divBdr>
        <w:top w:val="none" w:sz="0" w:space="0" w:color="auto"/>
        <w:left w:val="none" w:sz="0" w:space="0" w:color="auto"/>
        <w:bottom w:val="none" w:sz="0" w:space="0" w:color="auto"/>
        <w:right w:val="none" w:sz="0" w:space="0" w:color="auto"/>
      </w:divBdr>
    </w:div>
    <w:div w:id="967857677">
      <w:marLeft w:val="0"/>
      <w:marRight w:val="0"/>
      <w:marTop w:val="10"/>
      <w:marBottom w:val="10"/>
      <w:divBdr>
        <w:top w:val="none" w:sz="0" w:space="0" w:color="auto"/>
        <w:left w:val="none" w:sz="0" w:space="0" w:color="auto"/>
        <w:bottom w:val="none" w:sz="0" w:space="0" w:color="auto"/>
        <w:right w:val="none" w:sz="0" w:space="0" w:color="auto"/>
      </w:divBdr>
    </w:div>
    <w:div w:id="1087732601">
      <w:marLeft w:val="0"/>
      <w:marRight w:val="0"/>
      <w:marTop w:val="10"/>
      <w:marBottom w:val="10"/>
      <w:divBdr>
        <w:top w:val="none" w:sz="0" w:space="0" w:color="auto"/>
        <w:left w:val="none" w:sz="0" w:space="0" w:color="auto"/>
        <w:bottom w:val="none" w:sz="0" w:space="0" w:color="auto"/>
        <w:right w:val="none" w:sz="0" w:space="0" w:color="auto"/>
      </w:divBdr>
    </w:div>
    <w:div w:id="1186481371">
      <w:marLeft w:val="0"/>
      <w:marRight w:val="720"/>
      <w:marTop w:val="10"/>
      <w:marBottom w:val="10"/>
      <w:divBdr>
        <w:top w:val="none" w:sz="0" w:space="0" w:color="auto"/>
        <w:left w:val="none" w:sz="0" w:space="0" w:color="auto"/>
        <w:bottom w:val="none" w:sz="0" w:space="0" w:color="auto"/>
        <w:right w:val="none" w:sz="0" w:space="0" w:color="auto"/>
      </w:divBdr>
    </w:div>
    <w:div w:id="1232620164">
      <w:marLeft w:val="0"/>
      <w:marRight w:val="720"/>
      <w:marTop w:val="10"/>
      <w:marBottom w:val="10"/>
      <w:divBdr>
        <w:top w:val="none" w:sz="0" w:space="0" w:color="auto"/>
        <w:left w:val="none" w:sz="0" w:space="0" w:color="auto"/>
        <w:bottom w:val="none" w:sz="0" w:space="0" w:color="auto"/>
        <w:right w:val="none" w:sz="0" w:space="0" w:color="auto"/>
      </w:divBdr>
    </w:div>
    <w:div w:id="1310748138">
      <w:marLeft w:val="0"/>
      <w:marRight w:val="0"/>
      <w:marTop w:val="10"/>
      <w:marBottom w:val="10"/>
      <w:divBdr>
        <w:top w:val="none" w:sz="0" w:space="0" w:color="auto"/>
        <w:left w:val="none" w:sz="0" w:space="0" w:color="auto"/>
        <w:bottom w:val="none" w:sz="0" w:space="0" w:color="auto"/>
        <w:right w:val="none" w:sz="0" w:space="0" w:color="auto"/>
      </w:divBdr>
    </w:div>
    <w:div w:id="1353336710">
      <w:marLeft w:val="0"/>
      <w:marRight w:val="0"/>
      <w:marTop w:val="10"/>
      <w:marBottom w:val="10"/>
      <w:divBdr>
        <w:top w:val="none" w:sz="0" w:space="0" w:color="auto"/>
        <w:left w:val="none" w:sz="0" w:space="0" w:color="auto"/>
        <w:bottom w:val="none" w:sz="0" w:space="0" w:color="auto"/>
        <w:right w:val="none" w:sz="0" w:space="0" w:color="auto"/>
      </w:divBdr>
    </w:div>
    <w:div w:id="1376537889">
      <w:marLeft w:val="0"/>
      <w:marRight w:val="0"/>
      <w:marTop w:val="10"/>
      <w:marBottom w:val="10"/>
      <w:divBdr>
        <w:top w:val="none" w:sz="0" w:space="0" w:color="auto"/>
        <w:left w:val="none" w:sz="0" w:space="0" w:color="auto"/>
        <w:bottom w:val="none" w:sz="0" w:space="0" w:color="auto"/>
        <w:right w:val="none" w:sz="0" w:space="0" w:color="auto"/>
      </w:divBdr>
    </w:div>
    <w:div w:id="1382753830">
      <w:marLeft w:val="0"/>
      <w:marRight w:val="720"/>
      <w:marTop w:val="10"/>
      <w:marBottom w:val="10"/>
      <w:divBdr>
        <w:top w:val="none" w:sz="0" w:space="0" w:color="auto"/>
        <w:left w:val="none" w:sz="0" w:space="0" w:color="auto"/>
        <w:bottom w:val="none" w:sz="0" w:space="0" w:color="auto"/>
        <w:right w:val="none" w:sz="0" w:space="0" w:color="auto"/>
      </w:divBdr>
    </w:div>
    <w:div w:id="1515269012">
      <w:marLeft w:val="0"/>
      <w:marRight w:val="0"/>
      <w:marTop w:val="10"/>
      <w:marBottom w:val="10"/>
      <w:divBdr>
        <w:top w:val="none" w:sz="0" w:space="0" w:color="auto"/>
        <w:left w:val="none" w:sz="0" w:space="0" w:color="auto"/>
        <w:bottom w:val="none" w:sz="0" w:space="0" w:color="auto"/>
        <w:right w:val="none" w:sz="0" w:space="0" w:color="auto"/>
      </w:divBdr>
    </w:div>
    <w:div w:id="1556232259">
      <w:marLeft w:val="0"/>
      <w:marRight w:val="0"/>
      <w:marTop w:val="10"/>
      <w:marBottom w:val="10"/>
      <w:divBdr>
        <w:top w:val="none" w:sz="0" w:space="0" w:color="auto"/>
        <w:left w:val="none" w:sz="0" w:space="0" w:color="auto"/>
        <w:bottom w:val="none" w:sz="0" w:space="0" w:color="auto"/>
        <w:right w:val="none" w:sz="0" w:space="0" w:color="auto"/>
      </w:divBdr>
    </w:div>
    <w:div w:id="1572737996">
      <w:marLeft w:val="0"/>
      <w:marRight w:val="0"/>
      <w:marTop w:val="10"/>
      <w:marBottom w:val="10"/>
      <w:divBdr>
        <w:top w:val="none" w:sz="0" w:space="0" w:color="auto"/>
        <w:left w:val="none" w:sz="0" w:space="0" w:color="auto"/>
        <w:bottom w:val="none" w:sz="0" w:space="0" w:color="auto"/>
        <w:right w:val="none" w:sz="0" w:space="0" w:color="auto"/>
      </w:divBdr>
    </w:div>
    <w:div w:id="1590000077">
      <w:marLeft w:val="0"/>
      <w:marRight w:val="0"/>
      <w:marTop w:val="10"/>
      <w:marBottom w:val="10"/>
      <w:divBdr>
        <w:top w:val="none" w:sz="0" w:space="0" w:color="auto"/>
        <w:left w:val="none" w:sz="0" w:space="0" w:color="auto"/>
        <w:bottom w:val="none" w:sz="0" w:space="0" w:color="auto"/>
        <w:right w:val="none" w:sz="0" w:space="0" w:color="auto"/>
      </w:divBdr>
    </w:div>
    <w:div w:id="1786849403">
      <w:marLeft w:val="0"/>
      <w:marRight w:val="0"/>
      <w:marTop w:val="10"/>
      <w:marBottom w:val="10"/>
      <w:divBdr>
        <w:top w:val="none" w:sz="0" w:space="0" w:color="auto"/>
        <w:left w:val="none" w:sz="0" w:space="0" w:color="auto"/>
        <w:bottom w:val="none" w:sz="0" w:space="0" w:color="auto"/>
        <w:right w:val="none" w:sz="0" w:space="0" w:color="auto"/>
      </w:divBdr>
    </w:div>
    <w:div w:id="18938806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