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3794" w:rsidRDefault="00163794">
      <w:pPr>
        <w:spacing w:line="500" w:lineRule="atLeast"/>
        <w:jc w:val="center"/>
        <w:divId w:val="242566387"/>
        <w:rPr>
          <w:rFonts w:ascii="黑体" w:eastAsia="黑体" w:hAnsi="黑体"/>
          <w:sz w:val="36"/>
          <w:szCs w:val="36"/>
        </w:rPr>
      </w:pPr>
      <w:r>
        <w:rPr>
          <w:rFonts w:ascii="黑体" w:eastAsia="黑体" w:hAnsi="黑体" w:hint="eastAsia"/>
          <w:sz w:val="36"/>
          <w:szCs w:val="36"/>
        </w:rPr>
        <w:t>肇庆市端州区人民法院</w:t>
      </w:r>
    </w:p>
    <w:p w:rsidR="00163794" w:rsidRDefault="00163794">
      <w:pPr>
        <w:spacing w:line="500" w:lineRule="atLeast"/>
        <w:jc w:val="center"/>
        <w:divId w:val="859006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3794" w:rsidRDefault="00163794">
      <w:pPr>
        <w:spacing w:line="500" w:lineRule="atLeast"/>
        <w:jc w:val="right"/>
        <w:divId w:val="1169322653"/>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526</w:t>
      </w:r>
      <w:r>
        <w:rPr>
          <w:rFonts w:hint="eastAsia"/>
          <w:sz w:val="30"/>
          <w:szCs w:val="30"/>
        </w:rPr>
        <w:t>号</w:t>
      </w:r>
    </w:p>
    <w:p w:rsidR="00163794" w:rsidRDefault="00163794">
      <w:pPr>
        <w:spacing w:line="500" w:lineRule="atLeast"/>
        <w:ind w:firstLine="600"/>
        <w:divId w:val="637733641"/>
        <w:rPr>
          <w:rFonts w:hint="eastAsia"/>
          <w:sz w:val="30"/>
          <w:szCs w:val="30"/>
        </w:rPr>
      </w:pPr>
      <w:r>
        <w:rPr>
          <w:rFonts w:hint="eastAsia"/>
          <w:sz w:val="30"/>
          <w:szCs w:val="30"/>
        </w:rPr>
        <w:t>公诉机关肇庆市端州区人民检察院。</w:t>
      </w:r>
    </w:p>
    <w:p w:rsidR="00163794" w:rsidRDefault="00163794">
      <w:pPr>
        <w:spacing w:line="500" w:lineRule="atLeast"/>
        <w:ind w:firstLine="600"/>
        <w:divId w:val="1498688341"/>
        <w:rPr>
          <w:rFonts w:hint="eastAsia"/>
          <w:sz w:val="30"/>
          <w:szCs w:val="30"/>
        </w:rPr>
      </w:pPr>
      <w:r>
        <w:rPr>
          <w:rFonts w:hint="eastAsia"/>
          <w:sz w:val="30"/>
          <w:szCs w:val="30"/>
        </w:rPr>
        <w:t>被告人陈炳枢，男，广东省德庆县人，汉族，大专文化，曾任德庆××住房与城乡规划建设局副局长兼德庆××城乡规划管理服务中心主任，住德庆县。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日因涉嫌受贿罪被刑事拘留，同年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日被逮捕。现押于肇庆市看守所。</w:t>
      </w:r>
    </w:p>
    <w:p w:rsidR="00163794" w:rsidRDefault="00163794">
      <w:pPr>
        <w:spacing w:line="500" w:lineRule="atLeast"/>
        <w:ind w:firstLine="600"/>
        <w:divId w:val="2063795337"/>
        <w:rPr>
          <w:rFonts w:hint="eastAsia"/>
          <w:sz w:val="30"/>
          <w:szCs w:val="30"/>
        </w:rPr>
      </w:pPr>
      <w:r>
        <w:rPr>
          <w:rFonts w:hint="eastAsia"/>
          <w:sz w:val="30"/>
          <w:szCs w:val="30"/>
        </w:rPr>
        <w:t>辩护人李德汉、李妍，广东天量律师事务所律师。</w:t>
      </w:r>
    </w:p>
    <w:p w:rsidR="00163794" w:rsidRDefault="00163794">
      <w:pPr>
        <w:spacing w:line="500" w:lineRule="atLeast"/>
        <w:ind w:firstLine="600"/>
        <w:divId w:val="293147576"/>
        <w:rPr>
          <w:rFonts w:hint="eastAsia"/>
          <w:sz w:val="30"/>
          <w:szCs w:val="30"/>
        </w:rPr>
      </w:pPr>
      <w:r>
        <w:rPr>
          <w:rFonts w:hint="eastAsia"/>
          <w:sz w:val="30"/>
          <w:szCs w:val="30"/>
        </w:rPr>
        <w:t>肇庆市端州区人民检察院以肇端检刑诉（</w:t>
      </w:r>
      <w:r>
        <w:rPr>
          <w:rFonts w:hint="eastAsia"/>
          <w:sz w:val="30"/>
          <w:szCs w:val="30"/>
        </w:rPr>
        <w:t>2015</w:t>
      </w:r>
      <w:r>
        <w:rPr>
          <w:rFonts w:hint="eastAsia"/>
          <w:sz w:val="30"/>
          <w:szCs w:val="30"/>
        </w:rPr>
        <w:t>）</w:t>
      </w:r>
      <w:r>
        <w:rPr>
          <w:rFonts w:hint="eastAsia"/>
          <w:sz w:val="30"/>
          <w:szCs w:val="30"/>
        </w:rPr>
        <w:t>440</w:t>
      </w:r>
      <w:r>
        <w:rPr>
          <w:rFonts w:hint="eastAsia"/>
          <w:sz w:val="30"/>
          <w:szCs w:val="30"/>
        </w:rPr>
        <w:t>号起诉书指控被告人陈炳枢犯受贿罪，向本院提起公诉。肇庆市端州区人民检察院指派检察员徐冀慧出庭支持公诉，被告人陈炳枢及辩护人李德汉、李妍到庭参加诉讼。本案现已审理终结。</w:t>
      </w:r>
    </w:p>
    <w:p w:rsidR="00163794" w:rsidRDefault="00163794">
      <w:pPr>
        <w:spacing w:line="500" w:lineRule="atLeast"/>
        <w:ind w:firstLine="600"/>
        <w:divId w:val="209501250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陈炳枢在担任德庆县住建局副局长兼德庆县城乡管理中心主任期间，接受德庆县国土局党组副书记陈某郑与商人邱某（两人另案处理）的请托，在未经受理、审核、上报德庆县住建局审批等法定程序的情况下，违规为郁南县通港建材有限公司名下的一幅</w:t>
      </w:r>
      <w:r>
        <w:rPr>
          <w:rFonts w:hint="eastAsia"/>
          <w:sz w:val="30"/>
          <w:szCs w:val="30"/>
        </w:rPr>
        <w:t>5000</w:t>
      </w:r>
      <w:r>
        <w:rPr>
          <w:rFonts w:hint="eastAsia"/>
          <w:sz w:val="30"/>
          <w:szCs w:val="30"/>
        </w:rPr>
        <w:t>平方米地块出具建设红线图，邱某、陈某郑凭该红线图成功将上述地块分割出售谋利。邱某、陈某郑为答谢被告人陈炳枢的帮助，于</w:t>
      </w:r>
      <w:r>
        <w:rPr>
          <w:rFonts w:hint="eastAsia"/>
          <w:sz w:val="30"/>
          <w:szCs w:val="30"/>
        </w:rPr>
        <w:t>2014</w:t>
      </w:r>
      <w:r>
        <w:rPr>
          <w:rFonts w:hint="eastAsia"/>
          <w:sz w:val="30"/>
          <w:szCs w:val="30"/>
        </w:rPr>
        <w:t>年初将该地块中的</w:t>
      </w:r>
      <w:r>
        <w:rPr>
          <w:rFonts w:hint="eastAsia"/>
          <w:sz w:val="30"/>
          <w:szCs w:val="30"/>
        </w:rPr>
        <w:t>184.45</w:t>
      </w:r>
      <w:r>
        <w:rPr>
          <w:rFonts w:hint="eastAsia"/>
          <w:sz w:val="30"/>
          <w:szCs w:val="30"/>
        </w:rPr>
        <w:t>平方米住宅用地（价值</w:t>
      </w:r>
      <w:r>
        <w:rPr>
          <w:rFonts w:hint="eastAsia"/>
          <w:sz w:val="30"/>
          <w:szCs w:val="30"/>
        </w:rPr>
        <w:t>664020</w:t>
      </w:r>
      <w:r>
        <w:rPr>
          <w:rFonts w:hint="eastAsia"/>
          <w:sz w:val="30"/>
          <w:szCs w:val="30"/>
        </w:rPr>
        <w:t>元）送给了被告人陈炳枢，按其要求登记在其儿子陈某的名下。</w:t>
      </w:r>
    </w:p>
    <w:p w:rsidR="00163794" w:rsidRDefault="00163794">
      <w:pPr>
        <w:spacing w:line="500" w:lineRule="atLeast"/>
        <w:ind w:firstLine="600"/>
        <w:divId w:val="1020820189"/>
        <w:rPr>
          <w:rFonts w:hint="eastAsia"/>
          <w:sz w:val="30"/>
          <w:szCs w:val="30"/>
        </w:rPr>
      </w:pPr>
      <w:r>
        <w:rPr>
          <w:rFonts w:hint="eastAsia"/>
          <w:sz w:val="30"/>
          <w:szCs w:val="30"/>
        </w:rPr>
        <w:t>公诉机关认为，被告人陈炳枢的行为已构成受贿罪，并提供相关证据，请本院依法判处。</w:t>
      </w:r>
    </w:p>
    <w:p w:rsidR="00163794" w:rsidRDefault="00163794">
      <w:pPr>
        <w:spacing w:line="500" w:lineRule="atLeast"/>
        <w:ind w:firstLine="600"/>
        <w:divId w:val="649675128"/>
        <w:rPr>
          <w:rFonts w:hint="eastAsia"/>
          <w:sz w:val="30"/>
          <w:szCs w:val="30"/>
        </w:rPr>
      </w:pPr>
      <w:r>
        <w:rPr>
          <w:rFonts w:hint="eastAsia"/>
          <w:sz w:val="30"/>
          <w:szCs w:val="30"/>
        </w:rPr>
        <w:lastRenderedPageBreak/>
        <w:t>被告人陈炳枢对指控的罪名和主要事实没有意见，愿意退出受贿所得，辩称：</w:t>
      </w:r>
      <w:r>
        <w:rPr>
          <w:rFonts w:hint="eastAsia"/>
          <w:sz w:val="30"/>
          <w:szCs w:val="30"/>
        </w:rPr>
        <w:t>1.</w:t>
      </w:r>
      <w:r>
        <w:rPr>
          <w:rFonts w:hint="eastAsia"/>
          <w:sz w:val="30"/>
          <w:szCs w:val="30"/>
        </w:rPr>
        <w:t>土地估价过高，</w:t>
      </w:r>
      <w:r>
        <w:rPr>
          <w:rFonts w:hint="eastAsia"/>
          <w:sz w:val="30"/>
          <w:szCs w:val="30"/>
        </w:rPr>
        <w:t>2.</w:t>
      </w:r>
      <w:r>
        <w:rPr>
          <w:rFonts w:hint="eastAsia"/>
          <w:sz w:val="30"/>
          <w:szCs w:val="30"/>
        </w:rPr>
        <w:t>我帮他出了红线图，没有出具用地规划许可证。请求从轻处罚。</w:t>
      </w:r>
    </w:p>
    <w:p w:rsidR="00163794" w:rsidRDefault="00163794">
      <w:pPr>
        <w:spacing w:line="500" w:lineRule="atLeast"/>
        <w:ind w:firstLine="600"/>
        <w:divId w:val="870149238"/>
        <w:rPr>
          <w:rFonts w:hint="eastAsia"/>
          <w:sz w:val="30"/>
          <w:szCs w:val="30"/>
        </w:rPr>
      </w:pPr>
      <w:r>
        <w:rPr>
          <w:rFonts w:hint="eastAsia"/>
          <w:sz w:val="30"/>
          <w:szCs w:val="30"/>
        </w:rPr>
        <w:t>被告人陈炳枢的辩护人提出：一、对指控的基本事实和定性没有意见。二、被告人主动到案，如实交代，是自首。三、土地评估价格虚高。请求减轻处罚。</w:t>
      </w:r>
    </w:p>
    <w:p w:rsidR="00163794" w:rsidRDefault="00163794">
      <w:pPr>
        <w:spacing w:line="500" w:lineRule="atLeast"/>
        <w:ind w:firstLine="600"/>
        <w:divId w:val="64431009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陈炳枢在担任德庆县住建局副局长兼德庆县城乡管理中心主任期间，接受德庆县国土局党组副书记陈某与商人邱某（两人另案处理）的请托，在未经受理、审核、上报德庆县住建局审批等法定程序的情况下，违规为郁南县通港建材有限公司名下的一幅</w:t>
      </w:r>
      <w:r>
        <w:rPr>
          <w:rFonts w:hint="eastAsia"/>
          <w:sz w:val="30"/>
          <w:szCs w:val="30"/>
        </w:rPr>
        <w:t>5000</w:t>
      </w:r>
      <w:r>
        <w:rPr>
          <w:rFonts w:hint="eastAsia"/>
          <w:sz w:val="30"/>
          <w:szCs w:val="30"/>
        </w:rPr>
        <w:t>平方米地块出具建设红线图，邱某、陈某凭该红线图成功将上述地块分割出售谋利。被告人邱某、陈某为答谢陈炳枢的帮助，于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日将该宗地块其中</w:t>
      </w:r>
      <w:r>
        <w:rPr>
          <w:rFonts w:hint="eastAsia"/>
          <w:sz w:val="30"/>
          <w:szCs w:val="30"/>
        </w:rPr>
        <w:t>184.45</w:t>
      </w:r>
      <w:r>
        <w:rPr>
          <w:rFonts w:hint="eastAsia"/>
          <w:sz w:val="30"/>
          <w:szCs w:val="30"/>
        </w:rPr>
        <w:t>平方米住宅用地送给了陈炳枢，并按陈炳枢要求将地登记在陈炳枢的儿子陈昊名下。经肇庆市发展和改革局价格认证中心鉴定，该地块价值</w:t>
      </w:r>
      <w:r>
        <w:rPr>
          <w:rFonts w:hint="eastAsia"/>
          <w:sz w:val="30"/>
          <w:szCs w:val="30"/>
        </w:rPr>
        <w:t>664020</w:t>
      </w:r>
      <w:r>
        <w:rPr>
          <w:rFonts w:hint="eastAsia"/>
          <w:sz w:val="30"/>
          <w:szCs w:val="30"/>
        </w:rPr>
        <w:t>元。</w:t>
      </w:r>
    </w:p>
    <w:p w:rsidR="00163794" w:rsidRDefault="00163794">
      <w:pPr>
        <w:spacing w:line="500" w:lineRule="atLeast"/>
        <w:ind w:firstLine="600"/>
        <w:divId w:val="955138613"/>
        <w:rPr>
          <w:rFonts w:hint="eastAsia"/>
          <w:sz w:val="30"/>
          <w:szCs w:val="30"/>
        </w:rPr>
      </w:pPr>
      <w:r>
        <w:rPr>
          <w:rFonts w:hint="eastAsia"/>
          <w:sz w:val="30"/>
          <w:szCs w:val="30"/>
        </w:rPr>
        <w:t>2015</w:t>
      </w:r>
      <w:r>
        <w:rPr>
          <w:rFonts w:hint="eastAsia"/>
          <w:sz w:val="30"/>
          <w:szCs w:val="30"/>
        </w:rPr>
        <w:t>年初，纪检部门发现被告人陈炳枢有违规变更土地规划用途的事实，于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日通知陈炳枢谈话了解情况。在谈话中，被告人陈炳枢交代了其收受邱某、陈某赠送的土地的事实。</w:t>
      </w:r>
    </w:p>
    <w:p w:rsidR="00163794" w:rsidRDefault="00163794">
      <w:pPr>
        <w:spacing w:line="500" w:lineRule="atLeast"/>
        <w:ind w:firstLine="600"/>
        <w:divId w:val="246113238"/>
        <w:rPr>
          <w:rFonts w:hint="eastAsia"/>
          <w:sz w:val="30"/>
          <w:szCs w:val="30"/>
        </w:rPr>
      </w:pPr>
      <w:r>
        <w:rPr>
          <w:rFonts w:hint="eastAsia"/>
          <w:sz w:val="30"/>
          <w:szCs w:val="30"/>
        </w:rPr>
        <w:t>上述事实，被告人陈炳枢在庭审中没有异议，并有公诉机关提交的鉴定结论书、地籍档案，证人邱某、陈某等人的证言，证人李某、蔡某等人的证言，被告人陈炳枢的供述等证据证实。上列证据均经庭审举证、质证。</w:t>
      </w:r>
    </w:p>
    <w:p w:rsidR="00163794" w:rsidRDefault="00163794">
      <w:pPr>
        <w:spacing w:line="500" w:lineRule="atLeast"/>
        <w:ind w:firstLine="600"/>
        <w:divId w:val="788478381"/>
        <w:rPr>
          <w:rFonts w:hint="eastAsia"/>
          <w:sz w:val="30"/>
          <w:szCs w:val="30"/>
        </w:rPr>
      </w:pPr>
      <w:r>
        <w:rPr>
          <w:rFonts w:hint="eastAsia"/>
          <w:sz w:val="30"/>
          <w:szCs w:val="30"/>
        </w:rPr>
        <w:t>本院认为，被告人陈炳枢身为国家工作人员，利用职务上的便利，非法收受他人财物，为他人谋取利益，其行为已构成受贿罪。被告人陈炳枢受贿数额巨大，论罪应处三年以上十年以下有期徒刑。公诉机关的指控事实清楚，证据确实、充分，定性准确，本院予以支持。被告人陈炳枢主动交代司法机关未掌握的犯罪事实，是自首，又积极配合清退受贿财物，应从轻处罚，辩护人的有关意见本院予以采纳；土地价值是由合法机构依法定程序评估，应予采信，被告人及辩护人的有关意见缺乏理据，本院不予采纳。被告人受贿所得的财物应当追缴。为维护公务活动的廉洁性，打击犯罪，根据被告人的犯罪性质、情节、认罪态度，依照《中华人民共和国刑法》第三百八十五条、第三百八十三条第一款、第六十七条第一款、第六十四条、《最高人民法院最高人民检察院关于办理贪污贿赂刑事案件适用法律若干问题的解释》第二条的规定，判决如下：</w:t>
      </w:r>
    </w:p>
    <w:p w:rsidR="00163794" w:rsidRDefault="00163794">
      <w:pPr>
        <w:spacing w:line="500" w:lineRule="atLeast"/>
        <w:ind w:firstLine="600"/>
        <w:divId w:val="915017952"/>
        <w:rPr>
          <w:rFonts w:hint="eastAsia"/>
          <w:sz w:val="30"/>
          <w:szCs w:val="30"/>
        </w:rPr>
      </w:pPr>
      <w:r>
        <w:rPr>
          <w:rFonts w:hint="eastAsia"/>
          <w:sz w:val="30"/>
          <w:szCs w:val="30"/>
        </w:rPr>
        <w:t>一、被告人陈炳枢犯受贿罪，判处有期徒刑三年二个月，并处罚金二十万元。</w:t>
      </w:r>
    </w:p>
    <w:p w:rsidR="00163794" w:rsidRDefault="00163794">
      <w:pPr>
        <w:spacing w:line="500" w:lineRule="atLeast"/>
        <w:ind w:firstLine="600"/>
        <w:divId w:val="2108382733"/>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日止。罚金限于判决生效后十日内缴纳。）</w:t>
      </w:r>
    </w:p>
    <w:p w:rsidR="00163794" w:rsidRDefault="00163794">
      <w:pPr>
        <w:spacing w:line="500" w:lineRule="atLeast"/>
        <w:ind w:firstLine="600"/>
        <w:divId w:val="1040595513"/>
        <w:rPr>
          <w:rFonts w:hint="eastAsia"/>
          <w:sz w:val="30"/>
          <w:szCs w:val="30"/>
        </w:rPr>
      </w:pPr>
      <w:r>
        <w:rPr>
          <w:rFonts w:hint="eastAsia"/>
          <w:sz w:val="30"/>
          <w:szCs w:val="30"/>
        </w:rPr>
        <w:t>二、登记在陈昊名下的</w:t>
      </w:r>
      <w:r>
        <w:rPr>
          <w:rFonts w:hint="eastAsia"/>
          <w:sz w:val="30"/>
          <w:szCs w:val="30"/>
        </w:rPr>
        <w:t>184.45</w:t>
      </w:r>
      <w:r>
        <w:rPr>
          <w:rFonts w:hint="eastAsia"/>
          <w:sz w:val="30"/>
          <w:szCs w:val="30"/>
        </w:rPr>
        <w:t>平方米国有土地使用权［证书号：德府国用（</w:t>
      </w:r>
      <w:r>
        <w:rPr>
          <w:rFonts w:hint="eastAsia"/>
          <w:sz w:val="30"/>
          <w:szCs w:val="30"/>
        </w:rPr>
        <w:t>2014</w:t>
      </w:r>
      <w:r>
        <w:rPr>
          <w:rFonts w:hint="eastAsia"/>
          <w:sz w:val="30"/>
          <w:szCs w:val="30"/>
        </w:rPr>
        <w:t>）第</w:t>
      </w:r>
      <w:r>
        <w:rPr>
          <w:rFonts w:hint="eastAsia"/>
          <w:sz w:val="30"/>
          <w:szCs w:val="30"/>
        </w:rPr>
        <w:t>0419</w:t>
      </w:r>
      <w:r>
        <w:rPr>
          <w:rFonts w:hint="eastAsia"/>
          <w:sz w:val="30"/>
          <w:szCs w:val="30"/>
        </w:rPr>
        <w:t>号］予以没收，上缴国库。</w:t>
      </w:r>
    </w:p>
    <w:p w:rsidR="00163794" w:rsidRDefault="00163794">
      <w:pPr>
        <w:spacing w:line="500" w:lineRule="atLeast"/>
        <w:ind w:firstLine="600"/>
        <w:divId w:val="97209811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rsidR="00163794" w:rsidRDefault="00163794">
      <w:pPr>
        <w:spacing w:line="500" w:lineRule="atLeast"/>
        <w:jc w:val="right"/>
        <w:divId w:val="766003320"/>
        <w:rPr>
          <w:rFonts w:hint="eastAsia"/>
          <w:sz w:val="30"/>
          <w:szCs w:val="30"/>
        </w:rPr>
      </w:pPr>
      <w:r>
        <w:rPr>
          <w:rFonts w:hint="eastAsia"/>
          <w:sz w:val="30"/>
          <w:szCs w:val="30"/>
        </w:rPr>
        <w:t>审　判　长　　许　钢</w:t>
      </w:r>
    </w:p>
    <w:p w:rsidR="00163794" w:rsidRDefault="00163794">
      <w:pPr>
        <w:spacing w:line="500" w:lineRule="atLeast"/>
        <w:jc w:val="right"/>
        <w:divId w:val="1284262632"/>
        <w:rPr>
          <w:rFonts w:hint="eastAsia"/>
          <w:sz w:val="30"/>
          <w:szCs w:val="30"/>
        </w:rPr>
      </w:pPr>
      <w:r>
        <w:rPr>
          <w:rFonts w:hint="eastAsia"/>
          <w:sz w:val="30"/>
          <w:szCs w:val="30"/>
        </w:rPr>
        <w:t>审　判　员　　黄敏琼</w:t>
      </w:r>
    </w:p>
    <w:p w:rsidR="00163794" w:rsidRDefault="00163794">
      <w:pPr>
        <w:spacing w:line="500" w:lineRule="atLeast"/>
        <w:jc w:val="right"/>
        <w:divId w:val="884296543"/>
        <w:rPr>
          <w:rFonts w:hint="eastAsia"/>
          <w:sz w:val="30"/>
          <w:szCs w:val="30"/>
        </w:rPr>
      </w:pPr>
      <w:r>
        <w:rPr>
          <w:rFonts w:hint="eastAsia"/>
          <w:sz w:val="30"/>
          <w:szCs w:val="30"/>
        </w:rPr>
        <w:t>人民陪审员　　陈雁萍</w:t>
      </w:r>
    </w:p>
    <w:p w:rsidR="00163794" w:rsidRDefault="00163794">
      <w:pPr>
        <w:spacing w:line="500" w:lineRule="atLeast"/>
        <w:jc w:val="right"/>
        <w:divId w:val="233512565"/>
        <w:rPr>
          <w:rFonts w:hint="eastAsia"/>
          <w:sz w:val="30"/>
          <w:szCs w:val="30"/>
        </w:rPr>
      </w:pPr>
      <w:r>
        <w:rPr>
          <w:rFonts w:hint="eastAsia"/>
          <w:sz w:val="30"/>
          <w:szCs w:val="30"/>
        </w:rPr>
        <w:t>二〇一六年九月十三日</w:t>
      </w:r>
    </w:p>
    <w:p w:rsidR="00163794" w:rsidRDefault="00163794">
      <w:pPr>
        <w:spacing w:line="500" w:lineRule="atLeast"/>
        <w:jc w:val="right"/>
        <w:divId w:val="85730423"/>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3794" w:rsidRDefault="00163794" w:rsidP="00163794">
      <w:pPr>
        <w:rPr>
          <w:rFonts w:hint="eastAsia"/>
        </w:rPr>
      </w:pPr>
      <w:r>
        <w:separator/>
      </w:r>
    </w:p>
  </w:endnote>
  <w:endnote w:type="continuationSeparator" w:id="0">
    <w:p w:rsidR="00163794" w:rsidRDefault="00163794" w:rsidP="001637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3794" w:rsidRDefault="00163794" w:rsidP="00163794">
      <w:pPr>
        <w:rPr>
          <w:rFonts w:hint="eastAsia"/>
        </w:rPr>
      </w:pPr>
      <w:r>
        <w:separator/>
      </w:r>
    </w:p>
  </w:footnote>
  <w:footnote w:type="continuationSeparator" w:id="0">
    <w:p w:rsidR="00163794" w:rsidRDefault="00163794" w:rsidP="001637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3794"/>
    <w:rsid w:val="0016379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3794"/>
    <w:pPr>
      <w:tabs>
        <w:tab w:val="center" w:pos="4153"/>
        <w:tab w:val="right" w:pos="8306"/>
      </w:tabs>
      <w:snapToGrid w:val="0"/>
      <w:jc w:val="center"/>
    </w:pPr>
    <w:rPr>
      <w:sz w:val="18"/>
      <w:szCs w:val="18"/>
    </w:rPr>
  </w:style>
  <w:style w:type="character" w:customStyle="1" w:styleId="a4">
    <w:name w:val="页眉 字符"/>
    <w:basedOn w:val="a0"/>
    <w:link w:val="a3"/>
    <w:uiPriority w:val="99"/>
    <w:rsid w:val="00163794"/>
    <w:rPr>
      <w:rFonts w:ascii="宋体" w:eastAsia="宋体" w:hAnsi="宋体" w:cs="宋体"/>
      <w:sz w:val="18"/>
      <w:szCs w:val="18"/>
    </w:rPr>
  </w:style>
  <w:style w:type="paragraph" w:styleId="a5">
    <w:name w:val="footer"/>
    <w:basedOn w:val="a"/>
    <w:link w:val="a6"/>
    <w:uiPriority w:val="99"/>
    <w:unhideWhenUsed/>
    <w:rsid w:val="00163794"/>
    <w:pPr>
      <w:tabs>
        <w:tab w:val="center" w:pos="4153"/>
        <w:tab w:val="right" w:pos="8306"/>
      </w:tabs>
      <w:snapToGrid w:val="0"/>
    </w:pPr>
    <w:rPr>
      <w:sz w:val="18"/>
      <w:szCs w:val="18"/>
    </w:rPr>
  </w:style>
  <w:style w:type="character" w:customStyle="1" w:styleId="a6">
    <w:name w:val="页脚 字符"/>
    <w:basedOn w:val="a0"/>
    <w:link w:val="a5"/>
    <w:uiPriority w:val="99"/>
    <w:rsid w:val="001637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0423">
      <w:marLeft w:val="0"/>
      <w:marRight w:val="720"/>
      <w:marTop w:val="10"/>
      <w:marBottom w:val="10"/>
      <w:divBdr>
        <w:top w:val="none" w:sz="0" w:space="0" w:color="auto"/>
        <w:left w:val="none" w:sz="0" w:space="0" w:color="auto"/>
        <w:bottom w:val="none" w:sz="0" w:space="0" w:color="auto"/>
        <w:right w:val="none" w:sz="0" w:space="0" w:color="auto"/>
      </w:divBdr>
    </w:div>
    <w:div w:id="233512565">
      <w:marLeft w:val="0"/>
      <w:marRight w:val="720"/>
      <w:marTop w:val="10"/>
      <w:marBottom w:val="10"/>
      <w:divBdr>
        <w:top w:val="none" w:sz="0" w:space="0" w:color="auto"/>
        <w:left w:val="none" w:sz="0" w:space="0" w:color="auto"/>
        <w:bottom w:val="none" w:sz="0" w:space="0" w:color="auto"/>
        <w:right w:val="none" w:sz="0" w:space="0" w:color="auto"/>
      </w:divBdr>
    </w:div>
    <w:div w:id="242566387">
      <w:marLeft w:val="0"/>
      <w:marRight w:val="0"/>
      <w:marTop w:val="10"/>
      <w:marBottom w:val="10"/>
      <w:divBdr>
        <w:top w:val="none" w:sz="0" w:space="0" w:color="auto"/>
        <w:left w:val="none" w:sz="0" w:space="0" w:color="auto"/>
        <w:bottom w:val="none" w:sz="0" w:space="0" w:color="auto"/>
        <w:right w:val="none" w:sz="0" w:space="0" w:color="auto"/>
      </w:divBdr>
    </w:div>
    <w:div w:id="246113238">
      <w:marLeft w:val="0"/>
      <w:marRight w:val="0"/>
      <w:marTop w:val="10"/>
      <w:marBottom w:val="10"/>
      <w:divBdr>
        <w:top w:val="none" w:sz="0" w:space="0" w:color="auto"/>
        <w:left w:val="none" w:sz="0" w:space="0" w:color="auto"/>
        <w:bottom w:val="none" w:sz="0" w:space="0" w:color="auto"/>
        <w:right w:val="none" w:sz="0" w:space="0" w:color="auto"/>
      </w:divBdr>
    </w:div>
    <w:div w:id="293147576">
      <w:marLeft w:val="0"/>
      <w:marRight w:val="0"/>
      <w:marTop w:val="10"/>
      <w:marBottom w:val="10"/>
      <w:divBdr>
        <w:top w:val="none" w:sz="0" w:space="0" w:color="auto"/>
        <w:left w:val="none" w:sz="0" w:space="0" w:color="auto"/>
        <w:bottom w:val="none" w:sz="0" w:space="0" w:color="auto"/>
        <w:right w:val="none" w:sz="0" w:space="0" w:color="auto"/>
      </w:divBdr>
    </w:div>
    <w:div w:id="637733641">
      <w:marLeft w:val="0"/>
      <w:marRight w:val="0"/>
      <w:marTop w:val="10"/>
      <w:marBottom w:val="10"/>
      <w:divBdr>
        <w:top w:val="none" w:sz="0" w:space="0" w:color="auto"/>
        <w:left w:val="none" w:sz="0" w:space="0" w:color="auto"/>
        <w:bottom w:val="none" w:sz="0" w:space="0" w:color="auto"/>
        <w:right w:val="none" w:sz="0" w:space="0" w:color="auto"/>
      </w:divBdr>
    </w:div>
    <w:div w:id="644310091">
      <w:marLeft w:val="0"/>
      <w:marRight w:val="0"/>
      <w:marTop w:val="10"/>
      <w:marBottom w:val="10"/>
      <w:divBdr>
        <w:top w:val="none" w:sz="0" w:space="0" w:color="auto"/>
        <w:left w:val="none" w:sz="0" w:space="0" w:color="auto"/>
        <w:bottom w:val="none" w:sz="0" w:space="0" w:color="auto"/>
        <w:right w:val="none" w:sz="0" w:space="0" w:color="auto"/>
      </w:divBdr>
    </w:div>
    <w:div w:id="649675128">
      <w:marLeft w:val="0"/>
      <w:marRight w:val="0"/>
      <w:marTop w:val="10"/>
      <w:marBottom w:val="10"/>
      <w:divBdr>
        <w:top w:val="none" w:sz="0" w:space="0" w:color="auto"/>
        <w:left w:val="none" w:sz="0" w:space="0" w:color="auto"/>
        <w:bottom w:val="none" w:sz="0" w:space="0" w:color="auto"/>
        <w:right w:val="none" w:sz="0" w:space="0" w:color="auto"/>
      </w:divBdr>
    </w:div>
    <w:div w:id="766003320">
      <w:marLeft w:val="0"/>
      <w:marRight w:val="720"/>
      <w:marTop w:val="10"/>
      <w:marBottom w:val="10"/>
      <w:divBdr>
        <w:top w:val="none" w:sz="0" w:space="0" w:color="auto"/>
        <w:left w:val="none" w:sz="0" w:space="0" w:color="auto"/>
        <w:bottom w:val="none" w:sz="0" w:space="0" w:color="auto"/>
        <w:right w:val="none" w:sz="0" w:space="0" w:color="auto"/>
      </w:divBdr>
    </w:div>
    <w:div w:id="788478381">
      <w:marLeft w:val="0"/>
      <w:marRight w:val="0"/>
      <w:marTop w:val="10"/>
      <w:marBottom w:val="10"/>
      <w:divBdr>
        <w:top w:val="none" w:sz="0" w:space="0" w:color="auto"/>
        <w:left w:val="none" w:sz="0" w:space="0" w:color="auto"/>
        <w:bottom w:val="none" w:sz="0" w:space="0" w:color="auto"/>
        <w:right w:val="none" w:sz="0" w:space="0" w:color="auto"/>
      </w:divBdr>
    </w:div>
    <w:div w:id="859006131">
      <w:marLeft w:val="0"/>
      <w:marRight w:val="0"/>
      <w:marTop w:val="10"/>
      <w:marBottom w:val="10"/>
      <w:divBdr>
        <w:top w:val="none" w:sz="0" w:space="0" w:color="auto"/>
        <w:left w:val="none" w:sz="0" w:space="0" w:color="auto"/>
        <w:bottom w:val="none" w:sz="0" w:space="0" w:color="auto"/>
        <w:right w:val="none" w:sz="0" w:space="0" w:color="auto"/>
      </w:divBdr>
    </w:div>
    <w:div w:id="870149238">
      <w:marLeft w:val="0"/>
      <w:marRight w:val="0"/>
      <w:marTop w:val="10"/>
      <w:marBottom w:val="10"/>
      <w:divBdr>
        <w:top w:val="none" w:sz="0" w:space="0" w:color="auto"/>
        <w:left w:val="none" w:sz="0" w:space="0" w:color="auto"/>
        <w:bottom w:val="none" w:sz="0" w:space="0" w:color="auto"/>
        <w:right w:val="none" w:sz="0" w:space="0" w:color="auto"/>
      </w:divBdr>
    </w:div>
    <w:div w:id="884296543">
      <w:marLeft w:val="0"/>
      <w:marRight w:val="720"/>
      <w:marTop w:val="10"/>
      <w:marBottom w:val="10"/>
      <w:divBdr>
        <w:top w:val="none" w:sz="0" w:space="0" w:color="auto"/>
        <w:left w:val="none" w:sz="0" w:space="0" w:color="auto"/>
        <w:bottom w:val="none" w:sz="0" w:space="0" w:color="auto"/>
        <w:right w:val="none" w:sz="0" w:space="0" w:color="auto"/>
      </w:divBdr>
    </w:div>
    <w:div w:id="915017952">
      <w:marLeft w:val="0"/>
      <w:marRight w:val="0"/>
      <w:marTop w:val="10"/>
      <w:marBottom w:val="10"/>
      <w:divBdr>
        <w:top w:val="none" w:sz="0" w:space="0" w:color="auto"/>
        <w:left w:val="none" w:sz="0" w:space="0" w:color="auto"/>
        <w:bottom w:val="none" w:sz="0" w:space="0" w:color="auto"/>
        <w:right w:val="none" w:sz="0" w:space="0" w:color="auto"/>
      </w:divBdr>
    </w:div>
    <w:div w:id="955138613">
      <w:marLeft w:val="0"/>
      <w:marRight w:val="0"/>
      <w:marTop w:val="10"/>
      <w:marBottom w:val="10"/>
      <w:divBdr>
        <w:top w:val="none" w:sz="0" w:space="0" w:color="auto"/>
        <w:left w:val="none" w:sz="0" w:space="0" w:color="auto"/>
        <w:bottom w:val="none" w:sz="0" w:space="0" w:color="auto"/>
        <w:right w:val="none" w:sz="0" w:space="0" w:color="auto"/>
      </w:divBdr>
    </w:div>
    <w:div w:id="972098111">
      <w:marLeft w:val="0"/>
      <w:marRight w:val="0"/>
      <w:marTop w:val="10"/>
      <w:marBottom w:val="10"/>
      <w:divBdr>
        <w:top w:val="none" w:sz="0" w:space="0" w:color="auto"/>
        <w:left w:val="none" w:sz="0" w:space="0" w:color="auto"/>
        <w:bottom w:val="none" w:sz="0" w:space="0" w:color="auto"/>
        <w:right w:val="none" w:sz="0" w:space="0" w:color="auto"/>
      </w:divBdr>
    </w:div>
    <w:div w:id="1020820189">
      <w:marLeft w:val="0"/>
      <w:marRight w:val="0"/>
      <w:marTop w:val="10"/>
      <w:marBottom w:val="10"/>
      <w:divBdr>
        <w:top w:val="none" w:sz="0" w:space="0" w:color="auto"/>
        <w:left w:val="none" w:sz="0" w:space="0" w:color="auto"/>
        <w:bottom w:val="none" w:sz="0" w:space="0" w:color="auto"/>
        <w:right w:val="none" w:sz="0" w:space="0" w:color="auto"/>
      </w:divBdr>
    </w:div>
    <w:div w:id="1040595513">
      <w:marLeft w:val="0"/>
      <w:marRight w:val="0"/>
      <w:marTop w:val="10"/>
      <w:marBottom w:val="10"/>
      <w:divBdr>
        <w:top w:val="none" w:sz="0" w:space="0" w:color="auto"/>
        <w:left w:val="none" w:sz="0" w:space="0" w:color="auto"/>
        <w:bottom w:val="none" w:sz="0" w:space="0" w:color="auto"/>
        <w:right w:val="none" w:sz="0" w:space="0" w:color="auto"/>
      </w:divBdr>
    </w:div>
    <w:div w:id="1169322653">
      <w:marLeft w:val="0"/>
      <w:marRight w:val="0"/>
      <w:marTop w:val="10"/>
      <w:marBottom w:val="10"/>
      <w:divBdr>
        <w:top w:val="none" w:sz="0" w:space="0" w:color="auto"/>
        <w:left w:val="none" w:sz="0" w:space="0" w:color="auto"/>
        <w:bottom w:val="none" w:sz="0" w:space="0" w:color="auto"/>
        <w:right w:val="none" w:sz="0" w:space="0" w:color="auto"/>
      </w:divBdr>
    </w:div>
    <w:div w:id="1284262632">
      <w:marLeft w:val="0"/>
      <w:marRight w:val="720"/>
      <w:marTop w:val="10"/>
      <w:marBottom w:val="10"/>
      <w:divBdr>
        <w:top w:val="none" w:sz="0" w:space="0" w:color="auto"/>
        <w:left w:val="none" w:sz="0" w:space="0" w:color="auto"/>
        <w:bottom w:val="none" w:sz="0" w:space="0" w:color="auto"/>
        <w:right w:val="none" w:sz="0" w:space="0" w:color="auto"/>
      </w:divBdr>
    </w:div>
    <w:div w:id="1498688341">
      <w:marLeft w:val="0"/>
      <w:marRight w:val="0"/>
      <w:marTop w:val="10"/>
      <w:marBottom w:val="10"/>
      <w:divBdr>
        <w:top w:val="none" w:sz="0" w:space="0" w:color="auto"/>
        <w:left w:val="none" w:sz="0" w:space="0" w:color="auto"/>
        <w:bottom w:val="none" w:sz="0" w:space="0" w:color="auto"/>
        <w:right w:val="none" w:sz="0" w:space="0" w:color="auto"/>
      </w:divBdr>
    </w:div>
    <w:div w:id="2063795337">
      <w:marLeft w:val="0"/>
      <w:marRight w:val="0"/>
      <w:marTop w:val="10"/>
      <w:marBottom w:val="10"/>
      <w:divBdr>
        <w:top w:val="none" w:sz="0" w:space="0" w:color="auto"/>
        <w:left w:val="none" w:sz="0" w:space="0" w:color="auto"/>
        <w:bottom w:val="none" w:sz="0" w:space="0" w:color="auto"/>
        <w:right w:val="none" w:sz="0" w:space="0" w:color="auto"/>
      </w:divBdr>
    </w:div>
    <w:div w:id="2095012502">
      <w:marLeft w:val="0"/>
      <w:marRight w:val="0"/>
      <w:marTop w:val="10"/>
      <w:marBottom w:val="10"/>
      <w:divBdr>
        <w:top w:val="none" w:sz="0" w:space="0" w:color="auto"/>
        <w:left w:val="none" w:sz="0" w:space="0" w:color="auto"/>
        <w:bottom w:val="none" w:sz="0" w:space="0" w:color="auto"/>
        <w:right w:val="none" w:sz="0" w:space="0" w:color="auto"/>
      </w:divBdr>
    </w:div>
    <w:div w:id="2108382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