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5195" w:rsidRDefault="002C5195">
      <w:pPr>
        <w:spacing w:line="500" w:lineRule="atLeast"/>
        <w:jc w:val="center"/>
        <w:divId w:val="158738095"/>
        <w:rPr>
          <w:rFonts w:ascii="黑体" w:eastAsia="黑体" w:hAnsi="黑体"/>
          <w:sz w:val="36"/>
          <w:szCs w:val="36"/>
        </w:rPr>
      </w:pPr>
      <w:r>
        <w:rPr>
          <w:rFonts w:ascii="黑体" w:eastAsia="黑体" w:hAnsi="黑体" w:hint="eastAsia"/>
          <w:sz w:val="36"/>
          <w:szCs w:val="36"/>
        </w:rPr>
        <w:t>广东省广州市番禺区人民法院</w:t>
      </w:r>
    </w:p>
    <w:p w:rsidR="002C5195" w:rsidRDefault="002C5195">
      <w:pPr>
        <w:spacing w:line="500" w:lineRule="atLeast"/>
        <w:jc w:val="center"/>
        <w:divId w:val="7717098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C5195" w:rsidRDefault="002C5195">
      <w:pPr>
        <w:spacing w:line="500" w:lineRule="atLeast"/>
        <w:jc w:val="right"/>
        <w:divId w:val="829177301"/>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57</w:t>
      </w:r>
      <w:r>
        <w:rPr>
          <w:rFonts w:hint="eastAsia"/>
          <w:sz w:val="30"/>
          <w:szCs w:val="30"/>
        </w:rPr>
        <w:t>号</w:t>
      </w:r>
    </w:p>
    <w:p w:rsidR="002C5195" w:rsidRDefault="002C5195">
      <w:pPr>
        <w:spacing w:line="500" w:lineRule="atLeast"/>
        <w:ind w:firstLine="600"/>
        <w:divId w:val="954212080"/>
        <w:rPr>
          <w:rFonts w:hint="eastAsia"/>
          <w:sz w:val="30"/>
          <w:szCs w:val="30"/>
        </w:rPr>
      </w:pPr>
      <w:r>
        <w:rPr>
          <w:rFonts w:hint="eastAsia"/>
          <w:sz w:val="30"/>
          <w:szCs w:val="30"/>
        </w:rPr>
        <w:t>公诉机关广州市番禺区人民检察院。</w:t>
      </w:r>
    </w:p>
    <w:p w:rsidR="002C5195" w:rsidRDefault="002C5195">
      <w:pPr>
        <w:spacing w:line="500" w:lineRule="atLeast"/>
        <w:ind w:firstLine="600"/>
        <w:divId w:val="1832790727"/>
        <w:rPr>
          <w:rFonts w:hint="eastAsia"/>
          <w:sz w:val="30"/>
          <w:szCs w:val="30"/>
        </w:rPr>
      </w:pPr>
      <w:r>
        <w:rPr>
          <w:rFonts w:hint="eastAsia"/>
          <w:sz w:val="30"/>
          <w:szCs w:val="30"/>
        </w:rPr>
        <w:t>被告人韦某，男，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日出生，汉族，文化程度大学专科，系广州供电局有限公司番禺供电局规划建设部工程前期管理员，住广州市番禺区大龙街金龙路桥边街</w:t>
      </w:r>
      <w:r>
        <w:rPr>
          <w:rFonts w:hint="eastAsia"/>
          <w:sz w:val="30"/>
          <w:szCs w:val="30"/>
        </w:rPr>
        <w:t>48</w:t>
      </w:r>
      <w:r>
        <w:rPr>
          <w:rFonts w:hint="eastAsia"/>
          <w:sz w:val="30"/>
          <w:szCs w:val="30"/>
        </w:rPr>
        <w:t>号北区五街三座</w:t>
      </w:r>
      <w:r>
        <w:rPr>
          <w:rFonts w:hint="eastAsia"/>
          <w:sz w:val="30"/>
          <w:szCs w:val="30"/>
        </w:rPr>
        <w:t>201</w:t>
      </w:r>
      <w:r>
        <w:rPr>
          <w:rFonts w:hint="eastAsia"/>
          <w:sz w:val="30"/>
          <w:szCs w:val="30"/>
        </w:rPr>
        <w:t>房，身份证号码：</w:t>
      </w:r>
      <w:r>
        <w:rPr>
          <w:rFonts w:hint="eastAsia"/>
          <w:sz w:val="30"/>
          <w:szCs w:val="30"/>
        </w:rPr>
        <w:t>440126197210144233</w:t>
      </w:r>
      <w:r>
        <w:rPr>
          <w:rFonts w:hint="eastAsia"/>
          <w:sz w:val="30"/>
          <w:szCs w:val="30"/>
        </w:rPr>
        <w:t>。因本案于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日被取保候审。</w:t>
      </w:r>
    </w:p>
    <w:p w:rsidR="002C5195" w:rsidRDefault="002C5195">
      <w:pPr>
        <w:spacing w:line="500" w:lineRule="atLeast"/>
        <w:ind w:firstLine="600"/>
        <w:divId w:val="666173795"/>
        <w:rPr>
          <w:rFonts w:hint="eastAsia"/>
          <w:sz w:val="30"/>
          <w:szCs w:val="30"/>
        </w:rPr>
      </w:pPr>
      <w:r>
        <w:rPr>
          <w:rFonts w:hint="eastAsia"/>
          <w:sz w:val="30"/>
          <w:szCs w:val="30"/>
        </w:rPr>
        <w:t>广州市番禺区人民检察院以穗番检公刑诉（</w:t>
      </w:r>
      <w:r>
        <w:rPr>
          <w:rFonts w:hint="eastAsia"/>
          <w:sz w:val="30"/>
          <w:szCs w:val="30"/>
        </w:rPr>
        <w:t>2014</w:t>
      </w:r>
      <w:r>
        <w:rPr>
          <w:rFonts w:hint="eastAsia"/>
          <w:sz w:val="30"/>
          <w:szCs w:val="30"/>
        </w:rPr>
        <w:t>）</w:t>
      </w:r>
      <w:r>
        <w:rPr>
          <w:rFonts w:hint="eastAsia"/>
          <w:sz w:val="30"/>
          <w:szCs w:val="30"/>
        </w:rPr>
        <w:t>2058</w:t>
      </w:r>
      <w:r>
        <w:rPr>
          <w:rFonts w:hint="eastAsia"/>
          <w:sz w:val="30"/>
          <w:szCs w:val="30"/>
        </w:rPr>
        <w:t>号起诉书指控被告人韦某犯受贿罪，于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日向本院提起公诉。本院依法组成合议庭，公开开庭审理了本案。广州市番禺区人民检察院指派检察员罗少威出庭支持公诉，被告人韦某到庭参加了诉讼。现已审理终结。</w:t>
      </w:r>
    </w:p>
    <w:p w:rsidR="002C5195" w:rsidRDefault="002C5195">
      <w:pPr>
        <w:spacing w:line="500" w:lineRule="atLeast"/>
        <w:ind w:firstLine="600"/>
        <w:divId w:val="1111097407"/>
        <w:rPr>
          <w:rFonts w:hint="eastAsia"/>
          <w:sz w:val="30"/>
          <w:szCs w:val="30"/>
        </w:rPr>
      </w:pPr>
      <w:r>
        <w:rPr>
          <w:rFonts w:hint="eastAsia"/>
          <w:sz w:val="30"/>
          <w:szCs w:val="30"/>
        </w:rPr>
        <w:t>广州市番禺区人民检察院指控，</w:t>
      </w:r>
      <w:r>
        <w:rPr>
          <w:rFonts w:hint="eastAsia"/>
          <w:sz w:val="30"/>
          <w:szCs w:val="30"/>
        </w:rPr>
        <w:t>2009</w:t>
      </w:r>
      <w:r>
        <w:rPr>
          <w:rFonts w:hint="eastAsia"/>
          <w:sz w:val="30"/>
          <w:szCs w:val="30"/>
        </w:rPr>
        <w:t>年间，被告人韦某利用担任广州供电局有限公司番禺供电局规划建设部工程前期管理员的职务便利，先后帮助刘某（已判刑）承接“</w:t>
      </w:r>
      <w:r>
        <w:rPr>
          <w:rFonts w:hint="eastAsia"/>
          <w:sz w:val="30"/>
          <w:szCs w:val="30"/>
        </w:rPr>
        <w:t>220</w:t>
      </w:r>
      <w:r>
        <w:rPr>
          <w:rFonts w:hint="eastAsia"/>
          <w:sz w:val="30"/>
          <w:szCs w:val="30"/>
        </w:rPr>
        <w:t>千伏某甲龙变电站工程”、“广深港客运专线</w:t>
      </w:r>
      <w:r>
        <w:rPr>
          <w:rFonts w:hint="eastAsia"/>
          <w:sz w:val="30"/>
          <w:szCs w:val="30"/>
        </w:rPr>
        <w:t>220</w:t>
      </w:r>
      <w:r>
        <w:rPr>
          <w:rFonts w:hint="eastAsia"/>
          <w:sz w:val="30"/>
          <w:szCs w:val="30"/>
        </w:rPr>
        <w:t>千伏某乙至鱼窝头牵引站架空线路工程”的征地测量及详查工程，两次收受刘某贿送的人民币共</w:t>
      </w:r>
      <w:r>
        <w:rPr>
          <w:rFonts w:hint="eastAsia"/>
          <w:sz w:val="30"/>
          <w:szCs w:val="30"/>
        </w:rPr>
        <w:t>2.2</w:t>
      </w:r>
      <w:r>
        <w:rPr>
          <w:rFonts w:hint="eastAsia"/>
          <w:sz w:val="30"/>
          <w:szCs w:val="30"/>
        </w:rPr>
        <w:t>万元。</w:t>
      </w:r>
    </w:p>
    <w:p w:rsidR="002C5195" w:rsidRDefault="002C5195">
      <w:pPr>
        <w:spacing w:line="500" w:lineRule="atLeast"/>
        <w:ind w:firstLine="600"/>
        <w:divId w:val="72629050"/>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年间，被告人韦某利用上述职务便利，先后帮助吴某丙（另案处理）承接</w:t>
      </w:r>
      <w:r>
        <w:rPr>
          <w:rFonts w:hint="eastAsia"/>
          <w:sz w:val="30"/>
          <w:szCs w:val="30"/>
        </w:rPr>
        <w:t>110</w:t>
      </w:r>
      <w:r>
        <w:rPr>
          <w:rFonts w:hint="eastAsia"/>
          <w:sz w:val="30"/>
          <w:szCs w:val="30"/>
        </w:rPr>
        <w:t>千伏茶东（禺山）、三枝、草河、汀根、长锦等变电站工程地质灾害危险性评估项目，多次收受吴某丙贿送的人民币共</w:t>
      </w:r>
      <w:r>
        <w:rPr>
          <w:rFonts w:hint="eastAsia"/>
          <w:sz w:val="30"/>
          <w:szCs w:val="30"/>
        </w:rPr>
        <w:t>4</w:t>
      </w:r>
      <w:r>
        <w:rPr>
          <w:rFonts w:hint="eastAsia"/>
          <w:sz w:val="30"/>
          <w:szCs w:val="30"/>
        </w:rPr>
        <w:t>万元。</w:t>
      </w:r>
    </w:p>
    <w:p w:rsidR="002C5195" w:rsidRDefault="002C5195">
      <w:pPr>
        <w:spacing w:line="500" w:lineRule="atLeast"/>
        <w:ind w:firstLine="600"/>
        <w:divId w:val="1154180249"/>
        <w:rPr>
          <w:rFonts w:hint="eastAsia"/>
          <w:sz w:val="30"/>
          <w:szCs w:val="30"/>
        </w:rPr>
      </w:pPr>
      <w:r>
        <w:rPr>
          <w:rFonts w:hint="eastAsia"/>
          <w:sz w:val="30"/>
          <w:szCs w:val="30"/>
        </w:rPr>
        <w:t>公诉机关就其指控的事实向本院提供了书证，证人证言，被告人的供述等证据证实。公诉机关认为，被告人韦某身为国</w:t>
      </w:r>
      <w:r>
        <w:rPr>
          <w:rFonts w:hint="eastAsia"/>
          <w:sz w:val="30"/>
          <w:szCs w:val="30"/>
        </w:rPr>
        <w:lastRenderedPageBreak/>
        <w:t>家工作人员，无视国家法律，利用职务上的便利，非法收受他人财物，为他人谋取利益，其行为已触犯《中华人民共和国刑法》第三百八十五条第一款、第三百八十六条、第三百八十三条第一款第（二）项，犯罪事实清楚，证据确实充分，应以受贿罪追究其刑事责任。被告人韦某犯罪以后自动投案，如实供述自己的罪行，根据《中华人民共和国刑法》第六十七条之规定，是自首，可以从轻或者减轻处罚。提请本院依法判处。</w:t>
      </w:r>
    </w:p>
    <w:p w:rsidR="002C5195" w:rsidRDefault="002C5195">
      <w:pPr>
        <w:spacing w:line="500" w:lineRule="atLeast"/>
        <w:ind w:firstLine="600"/>
        <w:divId w:val="2039163398"/>
        <w:rPr>
          <w:rFonts w:hint="eastAsia"/>
          <w:sz w:val="30"/>
          <w:szCs w:val="30"/>
        </w:rPr>
      </w:pPr>
      <w:r>
        <w:rPr>
          <w:rFonts w:hint="eastAsia"/>
          <w:sz w:val="30"/>
          <w:szCs w:val="30"/>
        </w:rPr>
        <w:t>被告人韦某承认控罪。</w:t>
      </w:r>
    </w:p>
    <w:p w:rsidR="002C5195" w:rsidRDefault="002C5195">
      <w:pPr>
        <w:spacing w:line="500" w:lineRule="atLeast"/>
        <w:ind w:firstLine="600"/>
        <w:divId w:val="106079117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年间，被告人韦某利用担任广州供电局有限公司番禺供电局规划建设部工程前期管理员的职务便利，先后帮助刘某（已判刑）承接“</w:t>
      </w:r>
      <w:r>
        <w:rPr>
          <w:rFonts w:hint="eastAsia"/>
          <w:sz w:val="30"/>
          <w:szCs w:val="30"/>
        </w:rPr>
        <w:t>220</w:t>
      </w:r>
      <w:r>
        <w:rPr>
          <w:rFonts w:hint="eastAsia"/>
          <w:sz w:val="30"/>
          <w:szCs w:val="30"/>
        </w:rPr>
        <w:t>千伏某甲龙变电站工程”、“广深港客运专线</w:t>
      </w:r>
      <w:r>
        <w:rPr>
          <w:rFonts w:hint="eastAsia"/>
          <w:sz w:val="30"/>
          <w:szCs w:val="30"/>
        </w:rPr>
        <w:t>220</w:t>
      </w:r>
      <w:r>
        <w:rPr>
          <w:rFonts w:hint="eastAsia"/>
          <w:sz w:val="30"/>
          <w:szCs w:val="30"/>
        </w:rPr>
        <w:t>千伏某乙至鱼窝头牵引站架空线路工程”的征地测量及详查工程，两次收受刘某贿送的人民币共</w:t>
      </w:r>
      <w:r>
        <w:rPr>
          <w:rFonts w:hint="eastAsia"/>
          <w:sz w:val="30"/>
          <w:szCs w:val="30"/>
        </w:rPr>
        <w:t>2.2</w:t>
      </w:r>
      <w:r>
        <w:rPr>
          <w:rFonts w:hint="eastAsia"/>
          <w:sz w:val="30"/>
          <w:szCs w:val="30"/>
        </w:rPr>
        <w:t>万元。</w:t>
      </w:r>
    </w:p>
    <w:p w:rsidR="002C5195" w:rsidRDefault="002C5195">
      <w:pPr>
        <w:spacing w:line="500" w:lineRule="atLeast"/>
        <w:ind w:firstLine="600"/>
        <w:divId w:val="1124353260"/>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年间，被告人韦某利用上述职务便利，先后帮助吴某丙（另案处理）承接</w:t>
      </w:r>
      <w:r>
        <w:rPr>
          <w:rFonts w:hint="eastAsia"/>
          <w:sz w:val="30"/>
          <w:szCs w:val="30"/>
        </w:rPr>
        <w:t>110</w:t>
      </w:r>
      <w:r>
        <w:rPr>
          <w:rFonts w:hint="eastAsia"/>
          <w:sz w:val="30"/>
          <w:szCs w:val="30"/>
        </w:rPr>
        <w:t>千伏茶东（禺山）、三枝、草河、汀根、长锦等变电站工程地质灾害危险性评估项目，多次收受吴某丙贿送的人民币共</w:t>
      </w:r>
      <w:r>
        <w:rPr>
          <w:rFonts w:hint="eastAsia"/>
          <w:sz w:val="30"/>
          <w:szCs w:val="30"/>
        </w:rPr>
        <w:t>4</w:t>
      </w:r>
      <w:r>
        <w:rPr>
          <w:rFonts w:hint="eastAsia"/>
          <w:sz w:val="30"/>
          <w:szCs w:val="30"/>
        </w:rPr>
        <w:t>万元。</w:t>
      </w:r>
    </w:p>
    <w:p w:rsidR="002C5195" w:rsidRDefault="002C5195">
      <w:pPr>
        <w:spacing w:line="500" w:lineRule="atLeast"/>
        <w:ind w:firstLine="600"/>
        <w:divId w:val="919949261"/>
        <w:rPr>
          <w:rFonts w:hint="eastAsia"/>
          <w:sz w:val="30"/>
          <w:szCs w:val="30"/>
        </w:rPr>
      </w:pPr>
      <w:r>
        <w:rPr>
          <w:rFonts w:hint="eastAsia"/>
          <w:sz w:val="30"/>
          <w:szCs w:val="30"/>
        </w:rPr>
        <w:t>另查明，案发后被告人韦某向广州市番禺区人民检察院清退赃款</w:t>
      </w:r>
      <w:r>
        <w:rPr>
          <w:rFonts w:hint="eastAsia"/>
          <w:sz w:val="30"/>
          <w:szCs w:val="30"/>
        </w:rPr>
        <w:t>62000</w:t>
      </w:r>
      <w:r>
        <w:rPr>
          <w:rFonts w:hint="eastAsia"/>
          <w:sz w:val="30"/>
          <w:szCs w:val="30"/>
        </w:rPr>
        <w:t>元。</w:t>
      </w:r>
    </w:p>
    <w:p w:rsidR="002C5195" w:rsidRDefault="002C5195">
      <w:pPr>
        <w:spacing w:line="500" w:lineRule="atLeast"/>
        <w:ind w:firstLine="600"/>
        <w:divId w:val="46145989"/>
        <w:rPr>
          <w:rFonts w:hint="eastAsia"/>
          <w:sz w:val="30"/>
          <w:szCs w:val="30"/>
        </w:rPr>
      </w:pPr>
      <w:r>
        <w:rPr>
          <w:rFonts w:hint="eastAsia"/>
          <w:sz w:val="30"/>
          <w:szCs w:val="30"/>
        </w:rPr>
        <w:t>上述事实，被告人韦某在开庭审理过程中没有异议，且有被告人的供述，证人刘某、吴某丙、茹某乙、林某的证言，韦某个人资料，企业法人营业执照，组织机构代码证，机构证明，员工基本情况表，广深港客运专线</w:t>
      </w:r>
      <w:r>
        <w:rPr>
          <w:rFonts w:hint="eastAsia"/>
          <w:sz w:val="30"/>
          <w:szCs w:val="30"/>
        </w:rPr>
        <w:t>220</w:t>
      </w:r>
      <w:r>
        <w:rPr>
          <w:rFonts w:hint="eastAsia"/>
          <w:sz w:val="30"/>
          <w:szCs w:val="30"/>
        </w:rPr>
        <w:t>千伏某乙至鱼窝头牵引站架空线路工程征地测量及详查委托合同，</w:t>
      </w:r>
      <w:r>
        <w:rPr>
          <w:rFonts w:hint="eastAsia"/>
          <w:sz w:val="30"/>
          <w:szCs w:val="30"/>
        </w:rPr>
        <w:t>110</w:t>
      </w:r>
      <w:r>
        <w:rPr>
          <w:rFonts w:hint="eastAsia"/>
          <w:sz w:val="30"/>
          <w:szCs w:val="30"/>
        </w:rPr>
        <w:t>千伏茶东（禺山）、三枝、草河、汀根、长锦变电站工程地质灾害危险性评估技术服务合同书，扣押决定书，扣押清单，暂扣财物收据，证明，补充侦查说明，破案经过等证据予以证实，足以认定。</w:t>
      </w:r>
    </w:p>
    <w:p w:rsidR="002C5195" w:rsidRDefault="002C5195">
      <w:pPr>
        <w:spacing w:line="500" w:lineRule="atLeast"/>
        <w:ind w:firstLine="600"/>
        <w:divId w:val="407309322"/>
        <w:rPr>
          <w:rFonts w:hint="eastAsia"/>
          <w:sz w:val="30"/>
          <w:szCs w:val="30"/>
        </w:rPr>
      </w:pPr>
      <w:r>
        <w:rPr>
          <w:rFonts w:hint="eastAsia"/>
          <w:sz w:val="30"/>
          <w:szCs w:val="30"/>
        </w:rPr>
        <w:t>本院认为，被告人韦某身为国家工作人员，无视国家法律，利用职务上的便利，非法收受他人财物，为他人谋取利益，其行为已构成受贿罪。鉴于被告人韦某犯罪以后自动投案，如实供述自己的罪行，是自首，且其在案发后能积极清退赃款，确有悔罪表现，依法可以减轻处罚，并适用缓刑。综合本案的犯罪情节、性质、社会危害性及被告人的认罪态度，依照《中华人民共和国刑法》第三百八十五条第一款、第三百八十六条、第三百八十三条第一款第（二）项、第六十七条第一款、第七十二条、第七十三条、第六十四条的规定，判决如下：</w:t>
      </w:r>
    </w:p>
    <w:p w:rsidR="002C5195" w:rsidRDefault="002C5195">
      <w:pPr>
        <w:spacing w:line="500" w:lineRule="atLeast"/>
        <w:ind w:firstLine="600"/>
        <w:divId w:val="1466505547"/>
        <w:rPr>
          <w:rFonts w:hint="eastAsia"/>
          <w:sz w:val="30"/>
          <w:szCs w:val="30"/>
        </w:rPr>
      </w:pPr>
      <w:r>
        <w:rPr>
          <w:rFonts w:hint="eastAsia"/>
          <w:sz w:val="30"/>
          <w:szCs w:val="30"/>
        </w:rPr>
        <w:t>一、被告人韦某犯受贿罪，判处有期徒刑一年四个月，缓刑一年六个月，并处没收财产一万元。</w:t>
      </w:r>
    </w:p>
    <w:p w:rsidR="002C5195" w:rsidRDefault="002C5195">
      <w:pPr>
        <w:spacing w:line="500" w:lineRule="atLeast"/>
        <w:ind w:firstLine="600"/>
        <w:divId w:val="1864124487"/>
        <w:rPr>
          <w:rFonts w:hint="eastAsia"/>
          <w:sz w:val="30"/>
          <w:szCs w:val="30"/>
        </w:rPr>
      </w:pPr>
      <w:r>
        <w:rPr>
          <w:rFonts w:hint="eastAsia"/>
          <w:sz w:val="30"/>
          <w:szCs w:val="30"/>
        </w:rPr>
        <w:t>（缓刑考验期限从判决确定之日起计算。判处没收的财产，应于本判决发生法律效力之日起十日内交纳，上缴国库。）</w:t>
      </w:r>
    </w:p>
    <w:p w:rsidR="002C5195" w:rsidRDefault="002C5195">
      <w:pPr>
        <w:spacing w:line="500" w:lineRule="atLeast"/>
        <w:ind w:firstLine="600"/>
        <w:divId w:val="1451238408"/>
        <w:rPr>
          <w:rFonts w:hint="eastAsia"/>
          <w:sz w:val="30"/>
          <w:szCs w:val="30"/>
        </w:rPr>
      </w:pPr>
      <w:r>
        <w:rPr>
          <w:rFonts w:hint="eastAsia"/>
          <w:sz w:val="30"/>
          <w:szCs w:val="30"/>
        </w:rPr>
        <w:t>二、被告人韦某退出的受贿赃款</w:t>
      </w:r>
      <w:r>
        <w:rPr>
          <w:rFonts w:hint="eastAsia"/>
          <w:sz w:val="30"/>
          <w:szCs w:val="30"/>
        </w:rPr>
        <w:t>62000</w:t>
      </w:r>
      <w:r>
        <w:rPr>
          <w:rFonts w:hint="eastAsia"/>
          <w:sz w:val="30"/>
          <w:szCs w:val="30"/>
        </w:rPr>
        <w:t>元予以没收，上缴国库（赃款现存于广州市番禺区人民检察院）。</w:t>
      </w:r>
    </w:p>
    <w:p w:rsidR="002C5195" w:rsidRDefault="002C5195">
      <w:pPr>
        <w:spacing w:line="500" w:lineRule="atLeast"/>
        <w:ind w:firstLine="600"/>
        <w:divId w:val="173731374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2C5195" w:rsidRDefault="002C5195">
      <w:pPr>
        <w:spacing w:line="500" w:lineRule="atLeast"/>
        <w:jc w:val="right"/>
        <w:divId w:val="803890864"/>
        <w:rPr>
          <w:rFonts w:hint="eastAsia"/>
          <w:sz w:val="30"/>
          <w:szCs w:val="30"/>
        </w:rPr>
      </w:pPr>
      <w:r>
        <w:rPr>
          <w:rFonts w:hint="eastAsia"/>
          <w:sz w:val="30"/>
          <w:szCs w:val="30"/>
        </w:rPr>
        <w:t>审　判　长　　何桂明</w:t>
      </w:r>
    </w:p>
    <w:p w:rsidR="002C5195" w:rsidRDefault="002C5195">
      <w:pPr>
        <w:spacing w:line="500" w:lineRule="atLeast"/>
        <w:jc w:val="right"/>
        <w:divId w:val="646083853"/>
        <w:rPr>
          <w:rFonts w:hint="eastAsia"/>
          <w:sz w:val="30"/>
          <w:szCs w:val="30"/>
        </w:rPr>
      </w:pPr>
      <w:r>
        <w:rPr>
          <w:rFonts w:hint="eastAsia"/>
          <w:sz w:val="30"/>
          <w:szCs w:val="30"/>
        </w:rPr>
        <w:t>人民陪审员　　周建军</w:t>
      </w:r>
    </w:p>
    <w:p w:rsidR="002C5195" w:rsidRDefault="002C5195">
      <w:pPr>
        <w:spacing w:line="500" w:lineRule="atLeast"/>
        <w:jc w:val="right"/>
        <w:divId w:val="255360427"/>
        <w:rPr>
          <w:rFonts w:hint="eastAsia"/>
          <w:sz w:val="30"/>
          <w:szCs w:val="30"/>
        </w:rPr>
      </w:pPr>
      <w:r>
        <w:rPr>
          <w:rFonts w:hint="eastAsia"/>
          <w:sz w:val="30"/>
          <w:szCs w:val="30"/>
        </w:rPr>
        <w:t>人民陪审员　　郭彩霞</w:t>
      </w:r>
    </w:p>
    <w:p w:rsidR="002C5195" w:rsidRDefault="002C5195">
      <w:pPr>
        <w:spacing w:line="500" w:lineRule="atLeast"/>
        <w:jc w:val="right"/>
        <w:divId w:val="988096801"/>
        <w:rPr>
          <w:rFonts w:hint="eastAsia"/>
          <w:sz w:val="30"/>
          <w:szCs w:val="30"/>
        </w:rPr>
      </w:pPr>
      <w:r>
        <w:rPr>
          <w:rFonts w:hint="eastAsia"/>
          <w:sz w:val="30"/>
          <w:szCs w:val="30"/>
        </w:rPr>
        <w:t>二〇一五年三月二十四日</w:t>
      </w:r>
    </w:p>
    <w:p w:rsidR="002C5195" w:rsidRDefault="002C5195">
      <w:pPr>
        <w:spacing w:line="500" w:lineRule="atLeast"/>
        <w:jc w:val="right"/>
        <w:divId w:val="1876890342"/>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5195" w:rsidRDefault="002C5195" w:rsidP="002C5195">
      <w:pPr>
        <w:rPr>
          <w:rFonts w:hint="eastAsia"/>
        </w:rPr>
      </w:pPr>
      <w:r>
        <w:separator/>
      </w:r>
    </w:p>
  </w:endnote>
  <w:endnote w:type="continuationSeparator" w:id="0">
    <w:p w:rsidR="002C5195" w:rsidRDefault="002C5195" w:rsidP="002C51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5195" w:rsidRDefault="002C5195" w:rsidP="002C5195">
      <w:pPr>
        <w:rPr>
          <w:rFonts w:hint="eastAsia"/>
        </w:rPr>
      </w:pPr>
      <w:r>
        <w:separator/>
      </w:r>
    </w:p>
  </w:footnote>
  <w:footnote w:type="continuationSeparator" w:id="0">
    <w:p w:rsidR="002C5195" w:rsidRDefault="002C5195" w:rsidP="002C51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5195"/>
    <w:rsid w:val="002A6721"/>
    <w:rsid w:val="002C5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5195"/>
    <w:pPr>
      <w:tabs>
        <w:tab w:val="center" w:pos="4153"/>
        <w:tab w:val="right" w:pos="8306"/>
      </w:tabs>
      <w:snapToGrid w:val="0"/>
      <w:jc w:val="center"/>
    </w:pPr>
    <w:rPr>
      <w:sz w:val="18"/>
      <w:szCs w:val="18"/>
    </w:rPr>
  </w:style>
  <w:style w:type="character" w:customStyle="1" w:styleId="a4">
    <w:name w:val="页眉 字符"/>
    <w:basedOn w:val="a0"/>
    <w:link w:val="a3"/>
    <w:uiPriority w:val="99"/>
    <w:rsid w:val="002C5195"/>
    <w:rPr>
      <w:rFonts w:ascii="宋体" w:eastAsia="宋体" w:hAnsi="宋体" w:cs="宋体"/>
      <w:sz w:val="18"/>
      <w:szCs w:val="18"/>
    </w:rPr>
  </w:style>
  <w:style w:type="paragraph" w:styleId="a5">
    <w:name w:val="footer"/>
    <w:basedOn w:val="a"/>
    <w:link w:val="a6"/>
    <w:uiPriority w:val="99"/>
    <w:unhideWhenUsed/>
    <w:rsid w:val="002C5195"/>
    <w:pPr>
      <w:tabs>
        <w:tab w:val="center" w:pos="4153"/>
        <w:tab w:val="right" w:pos="8306"/>
      </w:tabs>
      <w:snapToGrid w:val="0"/>
    </w:pPr>
    <w:rPr>
      <w:sz w:val="18"/>
      <w:szCs w:val="18"/>
    </w:rPr>
  </w:style>
  <w:style w:type="character" w:customStyle="1" w:styleId="a6">
    <w:name w:val="页脚 字符"/>
    <w:basedOn w:val="a0"/>
    <w:link w:val="a5"/>
    <w:uiPriority w:val="99"/>
    <w:rsid w:val="002C51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5989">
      <w:marLeft w:val="0"/>
      <w:marRight w:val="0"/>
      <w:marTop w:val="10"/>
      <w:marBottom w:val="10"/>
      <w:divBdr>
        <w:top w:val="none" w:sz="0" w:space="0" w:color="auto"/>
        <w:left w:val="none" w:sz="0" w:space="0" w:color="auto"/>
        <w:bottom w:val="none" w:sz="0" w:space="0" w:color="auto"/>
        <w:right w:val="none" w:sz="0" w:space="0" w:color="auto"/>
      </w:divBdr>
    </w:div>
    <w:div w:id="72629050">
      <w:marLeft w:val="0"/>
      <w:marRight w:val="0"/>
      <w:marTop w:val="10"/>
      <w:marBottom w:val="10"/>
      <w:divBdr>
        <w:top w:val="none" w:sz="0" w:space="0" w:color="auto"/>
        <w:left w:val="none" w:sz="0" w:space="0" w:color="auto"/>
        <w:bottom w:val="none" w:sz="0" w:space="0" w:color="auto"/>
        <w:right w:val="none" w:sz="0" w:space="0" w:color="auto"/>
      </w:divBdr>
    </w:div>
    <w:div w:id="158738095">
      <w:marLeft w:val="0"/>
      <w:marRight w:val="0"/>
      <w:marTop w:val="10"/>
      <w:marBottom w:val="10"/>
      <w:divBdr>
        <w:top w:val="none" w:sz="0" w:space="0" w:color="auto"/>
        <w:left w:val="none" w:sz="0" w:space="0" w:color="auto"/>
        <w:bottom w:val="none" w:sz="0" w:space="0" w:color="auto"/>
        <w:right w:val="none" w:sz="0" w:space="0" w:color="auto"/>
      </w:divBdr>
    </w:div>
    <w:div w:id="255360427">
      <w:marLeft w:val="0"/>
      <w:marRight w:val="720"/>
      <w:marTop w:val="10"/>
      <w:marBottom w:val="10"/>
      <w:divBdr>
        <w:top w:val="none" w:sz="0" w:space="0" w:color="auto"/>
        <w:left w:val="none" w:sz="0" w:space="0" w:color="auto"/>
        <w:bottom w:val="none" w:sz="0" w:space="0" w:color="auto"/>
        <w:right w:val="none" w:sz="0" w:space="0" w:color="auto"/>
      </w:divBdr>
    </w:div>
    <w:div w:id="407309322">
      <w:marLeft w:val="0"/>
      <w:marRight w:val="0"/>
      <w:marTop w:val="10"/>
      <w:marBottom w:val="10"/>
      <w:divBdr>
        <w:top w:val="none" w:sz="0" w:space="0" w:color="auto"/>
        <w:left w:val="none" w:sz="0" w:space="0" w:color="auto"/>
        <w:bottom w:val="none" w:sz="0" w:space="0" w:color="auto"/>
        <w:right w:val="none" w:sz="0" w:space="0" w:color="auto"/>
      </w:divBdr>
    </w:div>
    <w:div w:id="646083853">
      <w:marLeft w:val="0"/>
      <w:marRight w:val="720"/>
      <w:marTop w:val="10"/>
      <w:marBottom w:val="10"/>
      <w:divBdr>
        <w:top w:val="none" w:sz="0" w:space="0" w:color="auto"/>
        <w:left w:val="none" w:sz="0" w:space="0" w:color="auto"/>
        <w:bottom w:val="none" w:sz="0" w:space="0" w:color="auto"/>
        <w:right w:val="none" w:sz="0" w:space="0" w:color="auto"/>
      </w:divBdr>
    </w:div>
    <w:div w:id="666173795">
      <w:marLeft w:val="0"/>
      <w:marRight w:val="0"/>
      <w:marTop w:val="10"/>
      <w:marBottom w:val="10"/>
      <w:divBdr>
        <w:top w:val="none" w:sz="0" w:space="0" w:color="auto"/>
        <w:left w:val="none" w:sz="0" w:space="0" w:color="auto"/>
        <w:bottom w:val="none" w:sz="0" w:space="0" w:color="auto"/>
        <w:right w:val="none" w:sz="0" w:space="0" w:color="auto"/>
      </w:divBdr>
    </w:div>
    <w:div w:id="771709806">
      <w:marLeft w:val="0"/>
      <w:marRight w:val="0"/>
      <w:marTop w:val="10"/>
      <w:marBottom w:val="10"/>
      <w:divBdr>
        <w:top w:val="none" w:sz="0" w:space="0" w:color="auto"/>
        <w:left w:val="none" w:sz="0" w:space="0" w:color="auto"/>
        <w:bottom w:val="none" w:sz="0" w:space="0" w:color="auto"/>
        <w:right w:val="none" w:sz="0" w:space="0" w:color="auto"/>
      </w:divBdr>
    </w:div>
    <w:div w:id="803890864">
      <w:marLeft w:val="0"/>
      <w:marRight w:val="720"/>
      <w:marTop w:val="10"/>
      <w:marBottom w:val="10"/>
      <w:divBdr>
        <w:top w:val="none" w:sz="0" w:space="0" w:color="auto"/>
        <w:left w:val="none" w:sz="0" w:space="0" w:color="auto"/>
        <w:bottom w:val="none" w:sz="0" w:space="0" w:color="auto"/>
        <w:right w:val="none" w:sz="0" w:space="0" w:color="auto"/>
      </w:divBdr>
    </w:div>
    <w:div w:id="829177301">
      <w:marLeft w:val="0"/>
      <w:marRight w:val="0"/>
      <w:marTop w:val="10"/>
      <w:marBottom w:val="10"/>
      <w:divBdr>
        <w:top w:val="none" w:sz="0" w:space="0" w:color="auto"/>
        <w:left w:val="none" w:sz="0" w:space="0" w:color="auto"/>
        <w:bottom w:val="none" w:sz="0" w:space="0" w:color="auto"/>
        <w:right w:val="none" w:sz="0" w:space="0" w:color="auto"/>
      </w:divBdr>
    </w:div>
    <w:div w:id="919949261">
      <w:marLeft w:val="0"/>
      <w:marRight w:val="0"/>
      <w:marTop w:val="10"/>
      <w:marBottom w:val="10"/>
      <w:divBdr>
        <w:top w:val="none" w:sz="0" w:space="0" w:color="auto"/>
        <w:left w:val="none" w:sz="0" w:space="0" w:color="auto"/>
        <w:bottom w:val="none" w:sz="0" w:space="0" w:color="auto"/>
        <w:right w:val="none" w:sz="0" w:space="0" w:color="auto"/>
      </w:divBdr>
    </w:div>
    <w:div w:id="954212080">
      <w:marLeft w:val="0"/>
      <w:marRight w:val="0"/>
      <w:marTop w:val="10"/>
      <w:marBottom w:val="10"/>
      <w:divBdr>
        <w:top w:val="none" w:sz="0" w:space="0" w:color="auto"/>
        <w:left w:val="none" w:sz="0" w:space="0" w:color="auto"/>
        <w:bottom w:val="none" w:sz="0" w:space="0" w:color="auto"/>
        <w:right w:val="none" w:sz="0" w:space="0" w:color="auto"/>
      </w:divBdr>
    </w:div>
    <w:div w:id="988096801">
      <w:marLeft w:val="0"/>
      <w:marRight w:val="720"/>
      <w:marTop w:val="10"/>
      <w:marBottom w:val="10"/>
      <w:divBdr>
        <w:top w:val="none" w:sz="0" w:space="0" w:color="auto"/>
        <w:left w:val="none" w:sz="0" w:space="0" w:color="auto"/>
        <w:bottom w:val="none" w:sz="0" w:space="0" w:color="auto"/>
        <w:right w:val="none" w:sz="0" w:space="0" w:color="auto"/>
      </w:divBdr>
    </w:div>
    <w:div w:id="1060791171">
      <w:marLeft w:val="0"/>
      <w:marRight w:val="0"/>
      <w:marTop w:val="10"/>
      <w:marBottom w:val="10"/>
      <w:divBdr>
        <w:top w:val="none" w:sz="0" w:space="0" w:color="auto"/>
        <w:left w:val="none" w:sz="0" w:space="0" w:color="auto"/>
        <w:bottom w:val="none" w:sz="0" w:space="0" w:color="auto"/>
        <w:right w:val="none" w:sz="0" w:space="0" w:color="auto"/>
      </w:divBdr>
    </w:div>
    <w:div w:id="1111097407">
      <w:marLeft w:val="0"/>
      <w:marRight w:val="0"/>
      <w:marTop w:val="10"/>
      <w:marBottom w:val="10"/>
      <w:divBdr>
        <w:top w:val="none" w:sz="0" w:space="0" w:color="auto"/>
        <w:left w:val="none" w:sz="0" w:space="0" w:color="auto"/>
        <w:bottom w:val="none" w:sz="0" w:space="0" w:color="auto"/>
        <w:right w:val="none" w:sz="0" w:space="0" w:color="auto"/>
      </w:divBdr>
    </w:div>
    <w:div w:id="1124353260">
      <w:marLeft w:val="0"/>
      <w:marRight w:val="0"/>
      <w:marTop w:val="10"/>
      <w:marBottom w:val="10"/>
      <w:divBdr>
        <w:top w:val="none" w:sz="0" w:space="0" w:color="auto"/>
        <w:left w:val="none" w:sz="0" w:space="0" w:color="auto"/>
        <w:bottom w:val="none" w:sz="0" w:space="0" w:color="auto"/>
        <w:right w:val="none" w:sz="0" w:space="0" w:color="auto"/>
      </w:divBdr>
    </w:div>
    <w:div w:id="1154180249">
      <w:marLeft w:val="0"/>
      <w:marRight w:val="0"/>
      <w:marTop w:val="10"/>
      <w:marBottom w:val="10"/>
      <w:divBdr>
        <w:top w:val="none" w:sz="0" w:space="0" w:color="auto"/>
        <w:left w:val="none" w:sz="0" w:space="0" w:color="auto"/>
        <w:bottom w:val="none" w:sz="0" w:space="0" w:color="auto"/>
        <w:right w:val="none" w:sz="0" w:space="0" w:color="auto"/>
      </w:divBdr>
    </w:div>
    <w:div w:id="1451238408">
      <w:marLeft w:val="0"/>
      <w:marRight w:val="0"/>
      <w:marTop w:val="10"/>
      <w:marBottom w:val="10"/>
      <w:divBdr>
        <w:top w:val="none" w:sz="0" w:space="0" w:color="auto"/>
        <w:left w:val="none" w:sz="0" w:space="0" w:color="auto"/>
        <w:bottom w:val="none" w:sz="0" w:space="0" w:color="auto"/>
        <w:right w:val="none" w:sz="0" w:space="0" w:color="auto"/>
      </w:divBdr>
    </w:div>
    <w:div w:id="1466505547">
      <w:marLeft w:val="0"/>
      <w:marRight w:val="0"/>
      <w:marTop w:val="10"/>
      <w:marBottom w:val="10"/>
      <w:divBdr>
        <w:top w:val="none" w:sz="0" w:space="0" w:color="auto"/>
        <w:left w:val="none" w:sz="0" w:space="0" w:color="auto"/>
        <w:bottom w:val="none" w:sz="0" w:space="0" w:color="auto"/>
        <w:right w:val="none" w:sz="0" w:space="0" w:color="auto"/>
      </w:divBdr>
    </w:div>
    <w:div w:id="1737313740">
      <w:marLeft w:val="0"/>
      <w:marRight w:val="0"/>
      <w:marTop w:val="10"/>
      <w:marBottom w:val="10"/>
      <w:divBdr>
        <w:top w:val="none" w:sz="0" w:space="0" w:color="auto"/>
        <w:left w:val="none" w:sz="0" w:space="0" w:color="auto"/>
        <w:bottom w:val="none" w:sz="0" w:space="0" w:color="auto"/>
        <w:right w:val="none" w:sz="0" w:space="0" w:color="auto"/>
      </w:divBdr>
    </w:div>
    <w:div w:id="1832790727">
      <w:marLeft w:val="0"/>
      <w:marRight w:val="0"/>
      <w:marTop w:val="10"/>
      <w:marBottom w:val="10"/>
      <w:divBdr>
        <w:top w:val="none" w:sz="0" w:space="0" w:color="auto"/>
        <w:left w:val="none" w:sz="0" w:space="0" w:color="auto"/>
        <w:bottom w:val="none" w:sz="0" w:space="0" w:color="auto"/>
        <w:right w:val="none" w:sz="0" w:space="0" w:color="auto"/>
      </w:divBdr>
    </w:div>
    <w:div w:id="1864124487">
      <w:marLeft w:val="0"/>
      <w:marRight w:val="0"/>
      <w:marTop w:val="10"/>
      <w:marBottom w:val="10"/>
      <w:divBdr>
        <w:top w:val="none" w:sz="0" w:space="0" w:color="auto"/>
        <w:left w:val="none" w:sz="0" w:space="0" w:color="auto"/>
        <w:bottom w:val="none" w:sz="0" w:space="0" w:color="auto"/>
        <w:right w:val="none" w:sz="0" w:space="0" w:color="auto"/>
      </w:divBdr>
    </w:div>
    <w:div w:id="1876890342">
      <w:marLeft w:val="0"/>
      <w:marRight w:val="720"/>
      <w:marTop w:val="10"/>
      <w:marBottom w:val="10"/>
      <w:divBdr>
        <w:top w:val="none" w:sz="0" w:space="0" w:color="auto"/>
        <w:left w:val="none" w:sz="0" w:space="0" w:color="auto"/>
        <w:bottom w:val="none" w:sz="0" w:space="0" w:color="auto"/>
        <w:right w:val="none" w:sz="0" w:space="0" w:color="auto"/>
      </w:divBdr>
    </w:div>
    <w:div w:id="20391633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