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7B70" w:rsidRDefault="00A57B70">
      <w:pPr>
        <w:spacing w:line="500" w:lineRule="atLeast"/>
        <w:jc w:val="center"/>
        <w:divId w:val="1846742169"/>
        <w:rPr>
          <w:rFonts w:ascii="黑体" w:eastAsia="黑体" w:hAnsi="黑体"/>
          <w:sz w:val="36"/>
          <w:szCs w:val="36"/>
        </w:rPr>
      </w:pPr>
      <w:r>
        <w:rPr>
          <w:rFonts w:ascii="黑体" w:eastAsia="黑体" w:hAnsi="黑体" w:hint="eastAsia"/>
          <w:sz w:val="36"/>
          <w:szCs w:val="36"/>
        </w:rPr>
        <w:t>广东省珠海市金湾区人民法院</w:t>
      </w:r>
    </w:p>
    <w:p w:rsidR="00A57B70" w:rsidRDefault="00A57B70">
      <w:pPr>
        <w:spacing w:line="500" w:lineRule="atLeast"/>
        <w:jc w:val="center"/>
        <w:divId w:val="14792223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57B70" w:rsidRDefault="00A57B70">
      <w:pPr>
        <w:spacing w:line="500" w:lineRule="atLeast"/>
        <w:jc w:val="right"/>
        <w:divId w:val="87616211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0404</w:t>
      </w:r>
      <w:r>
        <w:rPr>
          <w:rFonts w:hint="eastAsia"/>
          <w:sz w:val="30"/>
          <w:szCs w:val="30"/>
        </w:rPr>
        <w:t>刑初</w:t>
      </w:r>
      <w:r>
        <w:rPr>
          <w:rFonts w:hint="eastAsia"/>
          <w:sz w:val="30"/>
          <w:szCs w:val="30"/>
        </w:rPr>
        <w:t>327</w:t>
      </w:r>
      <w:r>
        <w:rPr>
          <w:rFonts w:hint="eastAsia"/>
          <w:sz w:val="30"/>
          <w:szCs w:val="30"/>
        </w:rPr>
        <w:t>号</w:t>
      </w:r>
    </w:p>
    <w:p w:rsidR="00A57B70" w:rsidRDefault="00A57B70">
      <w:pPr>
        <w:spacing w:line="500" w:lineRule="atLeast"/>
        <w:ind w:firstLine="600"/>
        <w:divId w:val="641618614"/>
        <w:rPr>
          <w:rFonts w:hint="eastAsia"/>
          <w:sz w:val="30"/>
          <w:szCs w:val="30"/>
        </w:rPr>
      </w:pPr>
      <w:r>
        <w:rPr>
          <w:rFonts w:hint="eastAsia"/>
          <w:sz w:val="30"/>
          <w:szCs w:val="30"/>
        </w:rPr>
        <w:t>公诉机关珠海市金湾区人民检察院。</w:t>
      </w:r>
    </w:p>
    <w:p w:rsidR="00A57B70" w:rsidRDefault="00A57B70">
      <w:pPr>
        <w:spacing w:line="500" w:lineRule="atLeast"/>
        <w:ind w:firstLine="600"/>
        <w:divId w:val="1007561001"/>
        <w:rPr>
          <w:rFonts w:hint="eastAsia"/>
          <w:sz w:val="30"/>
          <w:szCs w:val="30"/>
        </w:rPr>
      </w:pPr>
      <w:r>
        <w:rPr>
          <w:rFonts w:hint="eastAsia"/>
          <w:sz w:val="30"/>
          <w:szCs w:val="30"/>
        </w:rPr>
        <w:t>被告人韦某汉（曾用名冯某奋），男，</w:t>
      </w:r>
      <w:r>
        <w:rPr>
          <w:rFonts w:hint="eastAsia"/>
          <w:sz w:val="30"/>
          <w:szCs w:val="30"/>
        </w:rPr>
        <w:t>1962</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日出生，壮族，中专文化，户籍地广东省珠海市，因本案于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日被羁押并被刑事拘留，同年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日被逮捕。现羁押于珠海市第一看守所。</w:t>
      </w:r>
    </w:p>
    <w:p w:rsidR="00A57B70" w:rsidRDefault="00A57B70">
      <w:pPr>
        <w:spacing w:line="500" w:lineRule="atLeast"/>
        <w:ind w:firstLine="600"/>
        <w:divId w:val="323438489"/>
        <w:rPr>
          <w:rFonts w:hint="eastAsia"/>
          <w:sz w:val="30"/>
          <w:szCs w:val="30"/>
        </w:rPr>
      </w:pPr>
      <w:r>
        <w:rPr>
          <w:rFonts w:hint="eastAsia"/>
          <w:sz w:val="30"/>
          <w:szCs w:val="30"/>
        </w:rPr>
        <w:t>辩护人黄永卓，广西恒聚律师事务所律师。</w:t>
      </w:r>
    </w:p>
    <w:p w:rsidR="00A57B70" w:rsidRDefault="00A57B70">
      <w:pPr>
        <w:spacing w:line="500" w:lineRule="atLeast"/>
        <w:ind w:firstLine="600"/>
        <w:divId w:val="1255748618"/>
        <w:rPr>
          <w:rFonts w:hint="eastAsia"/>
          <w:sz w:val="30"/>
          <w:szCs w:val="30"/>
        </w:rPr>
      </w:pPr>
      <w:r>
        <w:rPr>
          <w:rFonts w:hint="eastAsia"/>
          <w:sz w:val="30"/>
          <w:szCs w:val="30"/>
        </w:rPr>
        <w:t>被告人邵某（曾用名邵某</w:t>
      </w:r>
      <w:r>
        <w:rPr>
          <w:rFonts w:hint="eastAsia"/>
          <w:sz w:val="30"/>
          <w:szCs w:val="30"/>
        </w:rPr>
        <w:t>1</w:t>
      </w:r>
      <w:r>
        <w:rPr>
          <w:rFonts w:hint="eastAsia"/>
          <w:sz w:val="30"/>
          <w:szCs w:val="30"/>
        </w:rPr>
        <w:t>、彭某英），女，</w:t>
      </w:r>
      <w:r>
        <w:rPr>
          <w:rFonts w:hint="eastAsia"/>
          <w:sz w:val="30"/>
          <w:szCs w:val="30"/>
        </w:rPr>
        <w:t>1960</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日出生，汉族，高中文化，户籍地广东省珠海市，因本案于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日被羁押并被刑事拘留，同年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日被逮捕。现羁押于珠海市第一看守所。</w:t>
      </w:r>
    </w:p>
    <w:p w:rsidR="00A57B70" w:rsidRDefault="00A57B70">
      <w:pPr>
        <w:spacing w:line="500" w:lineRule="atLeast"/>
        <w:ind w:firstLine="600"/>
        <w:divId w:val="2041512087"/>
        <w:rPr>
          <w:rFonts w:hint="eastAsia"/>
          <w:sz w:val="30"/>
          <w:szCs w:val="30"/>
        </w:rPr>
      </w:pPr>
      <w:r>
        <w:rPr>
          <w:rFonts w:hint="eastAsia"/>
          <w:sz w:val="30"/>
          <w:szCs w:val="30"/>
        </w:rPr>
        <w:t>辩护人丁海波，广东星辰律师事务所律师。</w:t>
      </w:r>
    </w:p>
    <w:p w:rsidR="00A57B70" w:rsidRDefault="00A57B70">
      <w:pPr>
        <w:spacing w:line="500" w:lineRule="atLeast"/>
        <w:ind w:firstLine="600"/>
        <w:divId w:val="949632247"/>
        <w:rPr>
          <w:rFonts w:hint="eastAsia"/>
          <w:sz w:val="30"/>
          <w:szCs w:val="30"/>
        </w:rPr>
      </w:pPr>
      <w:r>
        <w:rPr>
          <w:rFonts w:hint="eastAsia"/>
          <w:sz w:val="30"/>
          <w:szCs w:val="30"/>
        </w:rPr>
        <w:t>珠海市金湾区人民检察院以珠金检刑诉</w:t>
      </w:r>
      <w:r>
        <w:rPr>
          <w:rFonts w:hint="eastAsia"/>
          <w:sz w:val="30"/>
          <w:szCs w:val="30"/>
        </w:rPr>
        <w:t>[2016]321</w:t>
      </w:r>
      <w:r>
        <w:rPr>
          <w:rFonts w:hint="eastAsia"/>
          <w:sz w:val="30"/>
          <w:szCs w:val="30"/>
        </w:rPr>
        <w:t>号起诉书指控被告人韦某汉、邵某犯挪用公款罪，于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向本院提起公诉。本院受理后，依法适用简易程序并组成合议庭审理，后在审理过程中发现有不宜适用简易程序审理的情形，依法转为普通程序，公开开庭审理了本案。珠海市金湾区人民检察院指派代理检察员孙晓红出庭支持公诉，被告人韦某汉、邵某及辩护人黄永卓、丁海波到庭参加了诉讼。现已审理终结。</w:t>
      </w:r>
    </w:p>
    <w:p w:rsidR="00A57B70" w:rsidRDefault="00A57B70">
      <w:pPr>
        <w:spacing w:line="500" w:lineRule="atLeast"/>
        <w:ind w:firstLine="600"/>
        <w:divId w:val="2033916066"/>
        <w:rPr>
          <w:rFonts w:hint="eastAsia"/>
          <w:sz w:val="30"/>
          <w:szCs w:val="30"/>
        </w:rPr>
      </w:pPr>
      <w:r>
        <w:rPr>
          <w:rFonts w:hint="eastAsia"/>
          <w:sz w:val="30"/>
          <w:szCs w:val="30"/>
        </w:rPr>
        <w:t>珠海市金湾区人民检察院指控，</w:t>
      </w:r>
      <w:r>
        <w:rPr>
          <w:rFonts w:hint="eastAsia"/>
          <w:sz w:val="30"/>
          <w:szCs w:val="30"/>
        </w:rPr>
        <w:t>1997</w:t>
      </w:r>
      <w:r>
        <w:rPr>
          <w:rFonts w:hint="eastAsia"/>
          <w:sz w:val="30"/>
          <w:szCs w:val="30"/>
        </w:rPr>
        <w:t>年</w:t>
      </w:r>
      <w:r>
        <w:rPr>
          <w:rFonts w:hint="eastAsia"/>
          <w:sz w:val="30"/>
          <w:szCs w:val="30"/>
        </w:rPr>
        <w:t>2</w:t>
      </w:r>
      <w:r>
        <w:rPr>
          <w:rFonts w:hint="eastAsia"/>
          <w:sz w:val="30"/>
          <w:szCs w:val="30"/>
        </w:rPr>
        <w:t>月，被告人韦某汉在担任中国工商银行股份有限公司珠海平沙支行（以下简称平沙支行）储蓄所副主任时，与担任平沙支行美平储蓄所储蓄员的妻子即被告人邵某商议后，在被告人邵某的协助下，利用</w:t>
      </w:r>
      <w:r>
        <w:rPr>
          <w:rFonts w:hint="eastAsia"/>
          <w:sz w:val="30"/>
          <w:szCs w:val="30"/>
        </w:rPr>
        <w:lastRenderedPageBreak/>
        <w:t>其职务便利，将储户存款人民币</w:t>
      </w:r>
      <w:r>
        <w:rPr>
          <w:rFonts w:hint="eastAsia"/>
          <w:sz w:val="30"/>
          <w:szCs w:val="30"/>
        </w:rPr>
        <w:t>355</w:t>
      </w:r>
      <w:r>
        <w:rPr>
          <w:rFonts w:hint="eastAsia"/>
          <w:sz w:val="30"/>
          <w:szCs w:val="30"/>
        </w:rPr>
        <w:t>万元（以下币种均为人民币）挪用于炒股。具体犯罪事实如下：</w:t>
      </w:r>
    </w:p>
    <w:p w:rsidR="00A57B70" w:rsidRDefault="00A57B70">
      <w:pPr>
        <w:spacing w:line="500" w:lineRule="atLeast"/>
        <w:ind w:firstLine="600"/>
        <w:divId w:val="157814294"/>
        <w:rPr>
          <w:rFonts w:hint="eastAsia"/>
          <w:sz w:val="30"/>
          <w:szCs w:val="30"/>
        </w:rPr>
      </w:pPr>
      <w:r>
        <w:rPr>
          <w:rFonts w:hint="eastAsia"/>
          <w:sz w:val="30"/>
          <w:szCs w:val="30"/>
        </w:rPr>
        <w:t>1997</w:t>
      </w:r>
      <w:r>
        <w:rPr>
          <w:rFonts w:hint="eastAsia"/>
          <w:sz w:val="30"/>
          <w:szCs w:val="30"/>
        </w:rPr>
        <w:t>年</w:t>
      </w:r>
      <w:r>
        <w:rPr>
          <w:rFonts w:hint="eastAsia"/>
          <w:sz w:val="30"/>
          <w:szCs w:val="30"/>
        </w:rPr>
        <w:t>2</w:t>
      </w:r>
      <w:r>
        <w:rPr>
          <w:rFonts w:hint="eastAsia"/>
          <w:sz w:val="30"/>
          <w:szCs w:val="30"/>
        </w:rPr>
        <w:t>月，中国太平洋保险公司珠海分公司（以下简称太平洋保险公司）员工贝某、刘某</w:t>
      </w:r>
      <w:r>
        <w:rPr>
          <w:rFonts w:hint="eastAsia"/>
          <w:sz w:val="30"/>
          <w:szCs w:val="30"/>
        </w:rPr>
        <w:t>1</w:t>
      </w:r>
      <w:r>
        <w:rPr>
          <w:rFonts w:hint="eastAsia"/>
          <w:sz w:val="30"/>
          <w:szCs w:val="30"/>
        </w:rPr>
        <w:t>等人找到被告人韦某汉，提出以高息存款的方式，将其公司资金</w:t>
      </w:r>
      <w:r>
        <w:rPr>
          <w:rFonts w:hint="eastAsia"/>
          <w:sz w:val="30"/>
          <w:szCs w:val="30"/>
        </w:rPr>
        <w:t>300</w:t>
      </w:r>
      <w:r>
        <w:rPr>
          <w:rFonts w:hint="eastAsia"/>
          <w:sz w:val="30"/>
          <w:szCs w:val="30"/>
        </w:rPr>
        <w:t>万元定期存入平沙支行。被告人韦某汉和被告人邵某商议，决定将该笔存款挪用出来用于炒股，同时被告人韦某汉表示在办理过程中需要使用被告人邵某的私章，被告人邵某表示同意。</w:t>
      </w:r>
    </w:p>
    <w:p w:rsidR="00A57B70" w:rsidRDefault="00A57B70">
      <w:pPr>
        <w:spacing w:line="500" w:lineRule="atLeast"/>
        <w:ind w:firstLine="600"/>
        <w:divId w:val="1872495600"/>
        <w:rPr>
          <w:rFonts w:hint="eastAsia"/>
          <w:sz w:val="30"/>
          <w:szCs w:val="30"/>
        </w:rPr>
      </w:pPr>
      <w:r>
        <w:rPr>
          <w:rFonts w:hint="eastAsia"/>
          <w:sz w:val="30"/>
          <w:szCs w:val="30"/>
        </w:rPr>
        <w:t>1997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日，被告人韦某汉为太平洋保险公司办理了</w:t>
      </w:r>
      <w:r>
        <w:rPr>
          <w:rFonts w:hint="eastAsia"/>
          <w:sz w:val="30"/>
          <w:szCs w:val="30"/>
        </w:rPr>
        <w:t>300</w:t>
      </w:r>
      <w:r>
        <w:rPr>
          <w:rFonts w:hint="eastAsia"/>
          <w:sz w:val="30"/>
          <w:szCs w:val="30"/>
        </w:rPr>
        <w:t>万元的定期存款业务，其先给太平洋保险公司开具一本平沙支行储蓄所的活期存折作为临时过渡账户，由太平洋保险公司将</w:t>
      </w:r>
      <w:r>
        <w:rPr>
          <w:rFonts w:hint="eastAsia"/>
          <w:sz w:val="30"/>
          <w:szCs w:val="30"/>
        </w:rPr>
        <w:t>300</w:t>
      </w:r>
      <w:r>
        <w:rPr>
          <w:rFonts w:hint="eastAsia"/>
          <w:sz w:val="30"/>
          <w:szCs w:val="30"/>
        </w:rPr>
        <w:t>万元存入该活期存折内。后被告人韦某汉未按银行规定，将该</w:t>
      </w:r>
      <w:r>
        <w:rPr>
          <w:rFonts w:hint="eastAsia"/>
          <w:sz w:val="30"/>
          <w:szCs w:val="30"/>
        </w:rPr>
        <w:t>300</w:t>
      </w:r>
      <w:r>
        <w:rPr>
          <w:rFonts w:hint="eastAsia"/>
          <w:sz w:val="30"/>
          <w:szCs w:val="30"/>
        </w:rPr>
        <w:t>万元从活期存折转存到银行定期存款账户，而是利用其职权，直接从电脑上打印了一张户名为“中国太平”的定期存单（存款金额为</w:t>
      </w:r>
      <w:r>
        <w:rPr>
          <w:rFonts w:hint="eastAsia"/>
          <w:sz w:val="30"/>
          <w:szCs w:val="30"/>
        </w:rPr>
        <w:t>300</w:t>
      </w:r>
      <w:r>
        <w:rPr>
          <w:rFonts w:hint="eastAsia"/>
          <w:sz w:val="30"/>
          <w:szCs w:val="30"/>
        </w:rPr>
        <w:t>万元、存款期限为一年），并加盖其负责保管的储蓄所业务公章及被告人邵某的私章。被告人韦某汉将办好的定期存单交给贝某等人，同时收回活期存折。之后，被告人韦某汉从电脑上消掉该笔</w:t>
      </w:r>
      <w:r>
        <w:rPr>
          <w:rFonts w:hint="eastAsia"/>
          <w:sz w:val="30"/>
          <w:szCs w:val="30"/>
        </w:rPr>
        <w:t>300</w:t>
      </w:r>
      <w:r>
        <w:rPr>
          <w:rFonts w:hint="eastAsia"/>
          <w:sz w:val="30"/>
          <w:szCs w:val="30"/>
        </w:rPr>
        <w:t>万元定期存款的记录，并凭借收回的活期存折和掌握的活期账户原始密码，分批将存折上的</w:t>
      </w:r>
      <w:r>
        <w:rPr>
          <w:rFonts w:hint="eastAsia"/>
          <w:sz w:val="30"/>
          <w:szCs w:val="30"/>
        </w:rPr>
        <w:t>300</w:t>
      </w:r>
      <w:r>
        <w:rPr>
          <w:rFonts w:hint="eastAsia"/>
          <w:sz w:val="30"/>
          <w:szCs w:val="30"/>
        </w:rPr>
        <w:t>万元转至其个人开设和控制的银行账户，最后又将上述资金转至其和被告人邵某在珠海国投证券公司开设的证券账户内用于炒股。</w:t>
      </w:r>
    </w:p>
    <w:p w:rsidR="00A57B70" w:rsidRDefault="00A57B70">
      <w:pPr>
        <w:spacing w:line="500" w:lineRule="atLeast"/>
        <w:ind w:firstLine="600"/>
        <w:divId w:val="638152286"/>
        <w:rPr>
          <w:rFonts w:hint="eastAsia"/>
          <w:sz w:val="30"/>
          <w:szCs w:val="30"/>
        </w:rPr>
      </w:pPr>
      <w:r>
        <w:rPr>
          <w:rFonts w:hint="eastAsia"/>
          <w:sz w:val="30"/>
          <w:szCs w:val="30"/>
        </w:rPr>
        <w:t>1997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日，被告人韦某汉为太平洋保险公司办理完</w:t>
      </w:r>
      <w:r>
        <w:rPr>
          <w:rFonts w:hint="eastAsia"/>
          <w:sz w:val="30"/>
          <w:szCs w:val="30"/>
        </w:rPr>
        <w:t>300</w:t>
      </w:r>
      <w:r>
        <w:rPr>
          <w:rFonts w:hint="eastAsia"/>
          <w:sz w:val="30"/>
          <w:szCs w:val="30"/>
        </w:rPr>
        <w:t>万元定期存款业务后，继续为贝某办理了户名为“邹某</w:t>
      </w:r>
      <w:r>
        <w:rPr>
          <w:rFonts w:hint="eastAsia"/>
          <w:sz w:val="30"/>
          <w:szCs w:val="30"/>
        </w:rPr>
        <w:t>1</w:t>
      </w:r>
      <w:r>
        <w:rPr>
          <w:rFonts w:hint="eastAsia"/>
          <w:sz w:val="30"/>
          <w:szCs w:val="30"/>
        </w:rPr>
        <w:t>”的</w:t>
      </w:r>
      <w:r>
        <w:rPr>
          <w:rFonts w:hint="eastAsia"/>
          <w:sz w:val="30"/>
          <w:szCs w:val="30"/>
        </w:rPr>
        <w:t>55</w:t>
      </w:r>
      <w:r>
        <w:rPr>
          <w:rFonts w:hint="eastAsia"/>
          <w:sz w:val="30"/>
          <w:szCs w:val="30"/>
        </w:rPr>
        <w:t>万元定期存款业务，其采用与上述相同的手段，将存折内的</w:t>
      </w:r>
      <w:r>
        <w:rPr>
          <w:rFonts w:hint="eastAsia"/>
          <w:sz w:val="30"/>
          <w:szCs w:val="30"/>
        </w:rPr>
        <w:t>55</w:t>
      </w:r>
      <w:r>
        <w:rPr>
          <w:rFonts w:hint="eastAsia"/>
          <w:sz w:val="30"/>
          <w:szCs w:val="30"/>
        </w:rPr>
        <w:t>万元转至其个人开设和控制的银行账户，最后又将上述资金转至其和被告人邵某在珠海国投证券公司开设的证券账户内用于炒股。</w:t>
      </w:r>
    </w:p>
    <w:p w:rsidR="00A57B70" w:rsidRDefault="00A57B70">
      <w:pPr>
        <w:spacing w:line="500" w:lineRule="atLeast"/>
        <w:ind w:firstLine="600"/>
        <w:divId w:val="945499844"/>
        <w:rPr>
          <w:rFonts w:hint="eastAsia"/>
          <w:sz w:val="30"/>
          <w:szCs w:val="30"/>
        </w:rPr>
      </w:pPr>
      <w:r>
        <w:rPr>
          <w:rFonts w:hint="eastAsia"/>
          <w:sz w:val="30"/>
          <w:szCs w:val="30"/>
        </w:rPr>
        <w:t>1998</w:t>
      </w:r>
      <w:r>
        <w:rPr>
          <w:rFonts w:hint="eastAsia"/>
          <w:sz w:val="30"/>
          <w:szCs w:val="30"/>
        </w:rPr>
        <w:t>年</w:t>
      </w:r>
      <w:r>
        <w:rPr>
          <w:rFonts w:hint="eastAsia"/>
          <w:sz w:val="30"/>
          <w:szCs w:val="30"/>
        </w:rPr>
        <w:t>2</w:t>
      </w:r>
      <w:r>
        <w:rPr>
          <w:rFonts w:hint="eastAsia"/>
          <w:sz w:val="30"/>
          <w:szCs w:val="30"/>
        </w:rPr>
        <w:t>月，被告人韦某汉、邵某因股票亏空无力偿还上述</w:t>
      </w:r>
      <w:r>
        <w:rPr>
          <w:rFonts w:hint="eastAsia"/>
          <w:sz w:val="30"/>
          <w:szCs w:val="30"/>
        </w:rPr>
        <w:t>355</w:t>
      </w:r>
      <w:r>
        <w:rPr>
          <w:rFonts w:hint="eastAsia"/>
          <w:sz w:val="30"/>
          <w:szCs w:val="30"/>
        </w:rPr>
        <w:t>万元款项。被告人韦某汉和储户商量后，将</w:t>
      </w:r>
      <w:r>
        <w:rPr>
          <w:rFonts w:hint="eastAsia"/>
          <w:sz w:val="30"/>
          <w:szCs w:val="30"/>
        </w:rPr>
        <w:t>355</w:t>
      </w:r>
      <w:r>
        <w:rPr>
          <w:rFonts w:hint="eastAsia"/>
          <w:sz w:val="30"/>
          <w:szCs w:val="30"/>
        </w:rPr>
        <w:t>万元的定期存单延期至</w:t>
      </w:r>
      <w:r>
        <w:rPr>
          <w:rFonts w:hint="eastAsia"/>
          <w:sz w:val="30"/>
          <w:szCs w:val="30"/>
        </w:rPr>
        <w:t>1999</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w:t>
      </w:r>
      <w:r>
        <w:rPr>
          <w:rFonts w:hint="eastAsia"/>
          <w:sz w:val="30"/>
          <w:szCs w:val="30"/>
        </w:rPr>
        <w:t>1999</w:t>
      </w:r>
      <w:r>
        <w:rPr>
          <w:rFonts w:hint="eastAsia"/>
          <w:sz w:val="30"/>
          <w:szCs w:val="30"/>
        </w:rPr>
        <w:t>年年初，被告人韦某汉、邵某仍无力偿还</w:t>
      </w:r>
      <w:r>
        <w:rPr>
          <w:rFonts w:hint="eastAsia"/>
          <w:sz w:val="30"/>
          <w:szCs w:val="30"/>
        </w:rPr>
        <w:t>355</w:t>
      </w:r>
      <w:r>
        <w:rPr>
          <w:rFonts w:hint="eastAsia"/>
          <w:sz w:val="30"/>
          <w:szCs w:val="30"/>
        </w:rPr>
        <w:t>万元款项，于是潜逃。</w:t>
      </w:r>
    </w:p>
    <w:p w:rsidR="00A57B70" w:rsidRDefault="00A57B70">
      <w:pPr>
        <w:spacing w:line="500" w:lineRule="atLeast"/>
        <w:ind w:firstLine="600"/>
        <w:divId w:val="926958336"/>
        <w:rPr>
          <w:rFonts w:hint="eastAsia"/>
          <w:sz w:val="30"/>
          <w:szCs w:val="30"/>
        </w:rPr>
      </w:pPr>
      <w:r>
        <w:rPr>
          <w:rFonts w:hint="eastAsia"/>
          <w:sz w:val="30"/>
          <w:szCs w:val="30"/>
        </w:rPr>
        <w:t>公诉机关认为，被告人韦某汉、邵某身为国家工作人员，利用职务便利，挪用公款归个人使用并进行营利活动，情节严重，该共同行为触犯了《中华人民共和国刑法》第三百八十四条的规定，应当以挪用公款罪追究刑事责任。被告人邵某在共同犯罪中起次要作用，系从犯，根据《中华人民共和国刑法》第二十七条的规定，应当从轻、减轻处罚。被告人韦某汉、邵某归案后如实供述犯罪事实，根据《中华人民共和国刑法》第六十七条第三款的规定，可以从轻处罚。特提请依法判处。</w:t>
      </w:r>
    </w:p>
    <w:p w:rsidR="00A57B70" w:rsidRDefault="00A57B70">
      <w:pPr>
        <w:spacing w:line="500" w:lineRule="atLeast"/>
        <w:ind w:firstLine="600"/>
        <w:divId w:val="1755054691"/>
        <w:rPr>
          <w:rFonts w:hint="eastAsia"/>
          <w:sz w:val="30"/>
          <w:szCs w:val="30"/>
        </w:rPr>
      </w:pPr>
      <w:r>
        <w:rPr>
          <w:rFonts w:hint="eastAsia"/>
          <w:sz w:val="30"/>
          <w:szCs w:val="30"/>
        </w:rPr>
        <w:t>被告人韦某汉、邵某对公诉机关指控的犯罪事实及罪名无异议，被告人韦某汉供称被告人邵某在共同犯罪中仅提供私章给其使用，所起作用较小。</w:t>
      </w:r>
    </w:p>
    <w:p w:rsidR="00A57B70" w:rsidRDefault="00A57B70">
      <w:pPr>
        <w:spacing w:line="500" w:lineRule="atLeast"/>
        <w:ind w:firstLine="600"/>
        <w:divId w:val="495925845"/>
        <w:rPr>
          <w:rFonts w:hint="eastAsia"/>
          <w:sz w:val="30"/>
          <w:szCs w:val="30"/>
        </w:rPr>
      </w:pPr>
      <w:r>
        <w:rPr>
          <w:rFonts w:hint="eastAsia"/>
          <w:sz w:val="30"/>
          <w:szCs w:val="30"/>
        </w:rPr>
        <w:t>被告人韦某汉的辩护人提出如下辩护意见：</w:t>
      </w:r>
      <w:r>
        <w:rPr>
          <w:rFonts w:hint="eastAsia"/>
          <w:sz w:val="30"/>
          <w:szCs w:val="30"/>
        </w:rPr>
        <w:t>1.</w:t>
      </w:r>
      <w:r>
        <w:rPr>
          <w:rFonts w:hint="eastAsia"/>
          <w:sz w:val="30"/>
          <w:szCs w:val="30"/>
        </w:rPr>
        <w:t>对公诉机关指控的罪名无意见，但被告人韦某汉为吸收涉案的</w:t>
      </w:r>
      <w:r>
        <w:rPr>
          <w:rFonts w:hint="eastAsia"/>
          <w:sz w:val="30"/>
          <w:szCs w:val="30"/>
        </w:rPr>
        <w:t>355</w:t>
      </w:r>
      <w:r>
        <w:rPr>
          <w:rFonts w:hint="eastAsia"/>
          <w:sz w:val="30"/>
          <w:szCs w:val="30"/>
        </w:rPr>
        <w:t>万元存款，支付了</w:t>
      </w:r>
      <w:r>
        <w:rPr>
          <w:rFonts w:hint="eastAsia"/>
          <w:sz w:val="30"/>
          <w:szCs w:val="30"/>
        </w:rPr>
        <w:t>50</w:t>
      </w:r>
      <w:r>
        <w:rPr>
          <w:rFonts w:hint="eastAsia"/>
          <w:sz w:val="30"/>
          <w:szCs w:val="30"/>
        </w:rPr>
        <w:t>多万元利息，应当从挪用公款的犯罪数额中予以扣减；</w:t>
      </w:r>
      <w:r>
        <w:rPr>
          <w:rFonts w:hint="eastAsia"/>
          <w:sz w:val="30"/>
          <w:szCs w:val="30"/>
        </w:rPr>
        <w:t>2.</w:t>
      </w:r>
      <w:r>
        <w:rPr>
          <w:rFonts w:hint="eastAsia"/>
          <w:sz w:val="30"/>
          <w:szCs w:val="30"/>
        </w:rPr>
        <w:t>被告人韦某汉、邵某在本案中所起作用相当，不应当区分主、从犯；</w:t>
      </w:r>
      <w:r>
        <w:rPr>
          <w:rFonts w:hint="eastAsia"/>
          <w:sz w:val="30"/>
          <w:szCs w:val="30"/>
        </w:rPr>
        <w:t>3.</w:t>
      </w:r>
      <w:r>
        <w:rPr>
          <w:rFonts w:hint="eastAsia"/>
          <w:sz w:val="30"/>
          <w:szCs w:val="30"/>
        </w:rPr>
        <w:t>根据犯罪当时的银行经营情况，可以推断出平沙支行存在高息揽存行为，而太平洋保险公司也是为了获取高额利息才将资金存入平沙支行，平沙支行和太平洋保险公司均存在过错；</w:t>
      </w:r>
      <w:r>
        <w:rPr>
          <w:rFonts w:hint="eastAsia"/>
          <w:sz w:val="30"/>
          <w:szCs w:val="30"/>
        </w:rPr>
        <w:t>4.</w:t>
      </w:r>
      <w:r>
        <w:rPr>
          <w:rFonts w:hint="eastAsia"/>
          <w:sz w:val="30"/>
          <w:szCs w:val="30"/>
        </w:rPr>
        <w:t>被告人韦某汉系初犯，归案后认罪态度较好，愿意退赃。</w:t>
      </w:r>
    </w:p>
    <w:p w:rsidR="00A57B70" w:rsidRDefault="00A57B70">
      <w:pPr>
        <w:spacing w:line="500" w:lineRule="atLeast"/>
        <w:ind w:firstLine="600"/>
        <w:divId w:val="1601600950"/>
        <w:rPr>
          <w:rFonts w:hint="eastAsia"/>
          <w:sz w:val="30"/>
          <w:szCs w:val="30"/>
        </w:rPr>
      </w:pPr>
      <w:r>
        <w:rPr>
          <w:rFonts w:hint="eastAsia"/>
          <w:sz w:val="30"/>
          <w:szCs w:val="30"/>
        </w:rPr>
        <w:t>被告人邵某的辩护人提出如下辩护意见：</w:t>
      </w:r>
      <w:r>
        <w:rPr>
          <w:rFonts w:hint="eastAsia"/>
          <w:sz w:val="30"/>
          <w:szCs w:val="30"/>
        </w:rPr>
        <w:t>1.</w:t>
      </w:r>
      <w:r>
        <w:rPr>
          <w:rFonts w:hint="eastAsia"/>
          <w:sz w:val="30"/>
          <w:szCs w:val="30"/>
        </w:rPr>
        <w:t>对公诉机关指控的罪名没有意见；</w:t>
      </w:r>
      <w:r>
        <w:rPr>
          <w:rFonts w:hint="eastAsia"/>
          <w:sz w:val="30"/>
          <w:szCs w:val="30"/>
        </w:rPr>
        <w:t>2.</w:t>
      </w:r>
      <w:r>
        <w:rPr>
          <w:rFonts w:hint="eastAsia"/>
          <w:sz w:val="30"/>
          <w:szCs w:val="30"/>
        </w:rPr>
        <w:t>被告人韦某汉是犯意提者，且在整个犯罪过程中均处于主导地位，被告人邵某仅提供了私章，在共同犯罪中起次要作用，系从犯；</w:t>
      </w:r>
      <w:r>
        <w:rPr>
          <w:rFonts w:hint="eastAsia"/>
          <w:sz w:val="30"/>
          <w:szCs w:val="30"/>
        </w:rPr>
        <w:t>3.</w:t>
      </w:r>
      <w:r>
        <w:rPr>
          <w:rFonts w:hint="eastAsia"/>
          <w:sz w:val="30"/>
          <w:szCs w:val="30"/>
        </w:rPr>
        <w:t>被告人邵某系初犯，归案后认罪态度较好。</w:t>
      </w:r>
    </w:p>
    <w:p w:rsidR="00A57B70" w:rsidRDefault="00A57B70">
      <w:pPr>
        <w:spacing w:line="500" w:lineRule="atLeast"/>
        <w:ind w:firstLine="600"/>
        <w:divId w:val="1459882274"/>
        <w:rPr>
          <w:rFonts w:hint="eastAsia"/>
          <w:sz w:val="30"/>
          <w:szCs w:val="30"/>
        </w:rPr>
      </w:pPr>
      <w:r>
        <w:rPr>
          <w:rFonts w:hint="eastAsia"/>
          <w:sz w:val="30"/>
          <w:szCs w:val="30"/>
        </w:rPr>
        <w:t>经审理查明的事实与公诉机关的指控一致。另查明，被告人韦某汉于</w:t>
      </w:r>
      <w:r>
        <w:rPr>
          <w:rFonts w:hint="eastAsia"/>
          <w:sz w:val="30"/>
          <w:szCs w:val="30"/>
        </w:rPr>
        <w:t>1990</w:t>
      </w:r>
      <w:r>
        <w:rPr>
          <w:rFonts w:hint="eastAsia"/>
          <w:sz w:val="30"/>
          <w:szCs w:val="30"/>
        </w:rPr>
        <w:t>年</w:t>
      </w:r>
      <w:r>
        <w:rPr>
          <w:rFonts w:hint="eastAsia"/>
          <w:sz w:val="30"/>
          <w:szCs w:val="30"/>
        </w:rPr>
        <w:t>10</w:t>
      </w:r>
      <w:r>
        <w:rPr>
          <w:rFonts w:hint="eastAsia"/>
          <w:sz w:val="30"/>
          <w:szCs w:val="30"/>
        </w:rPr>
        <w:t>月调入平沙支行，在平沙支行储蓄所担任办事员，后于</w:t>
      </w:r>
      <w:r>
        <w:rPr>
          <w:rFonts w:hint="eastAsia"/>
          <w:sz w:val="30"/>
          <w:szCs w:val="30"/>
        </w:rPr>
        <w:t>1993</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日担任平沙支行储蓄所副主任，负责全面工作。被告人邵某于</w:t>
      </w:r>
      <w:r>
        <w:rPr>
          <w:rFonts w:hint="eastAsia"/>
          <w:sz w:val="30"/>
          <w:szCs w:val="30"/>
        </w:rPr>
        <w:t>1990</w:t>
      </w:r>
      <w:r>
        <w:rPr>
          <w:rFonts w:hint="eastAsia"/>
          <w:sz w:val="30"/>
          <w:szCs w:val="30"/>
        </w:rPr>
        <w:t>年</w:t>
      </w:r>
      <w:r>
        <w:rPr>
          <w:rFonts w:hint="eastAsia"/>
          <w:sz w:val="30"/>
          <w:szCs w:val="30"/>
        </w:rPr>
        <w:t>10</w:t>
      </w:r>
      <w:r>
        <w:rPr>
          <w:rFonts w:hint="eastAsia"/>
          <w:sz w:val="30"/>
          <w:szCs w:val="30"/>
        </w:rPr>
        <w:t>月调入平沙支行，担任平沙支行美平储蓄所储蓄员。又查明，</w:t>
      </w:r>
      <w:r>
        <w:rPr>
          <w:rFonts w:hint="eastAsia"/>
          <w:sz w:val="30"/>
          <w:szCs w:val="30"/>
        </w:rPr>
        <w:t>1999</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日，太平洋保险公司员工刘某</w:t>
      </w:r>
      <w:r>
        <w:rPr>
          <w:rFonts w:hint="eastAsia"/>
          <w:sz w:val="30"/>
          <w:szCs w:val="30"/>
        </w:rPr>
        <w:t>2</w:t>
      </w:r>
      <w:r>
        <w:rPr>
          <w:rFonts w:hint="eastAsia"/>
          <w:sz w:val="30"/>
          <w:szCs w:val="30"/>
        </w:rPr>
        <w:t>等人向平沙支行出具定期存单，要求提取涉案的</w:t>
      </w:r>
      <w:r>
        <w:rPr>
          <w:rFonts w:hint="eastAsia"/>
          <w:sz w:val="30"/>
          <w:szCs w:val="30"/>
        </w:rPr>
        <w:t>355</w:t>
      </w:r>
      <w:r>
        <w:rPr>
          <w:rFonts w:hint="eastAsia"/>
          <w:sz w:val="30"/>
          <w:szCs w:val="30"/>
        </w:rPr>
        <w:t>万元存款，平沙支行经调查掌握被告人韦某汉、邵某有犯罪嫌疑，于</w:t>
      </w:r>
      <w:r>
        <w:rPr>
          <w:rFonts w:hint="eastAsia"/>
          <w:sz w:val="30"/>
          <w:szCs w:val="30"/>
        </w:rPr>
        <w:t>1999</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日向珠海市人民检察院报案。珠海市人民检察院于</w:t>
      </w:r>
      <w:r>
        <w:rPr>
          <w:rFonts w:hint="eastAsia"/>
          <w:sz w:val="30"/>
          <w:szCs w:val="30"/>
        </w:rPr>
        <w:t>1999</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日对本案立案侦查，并于</w:t>
      </w:r>
      <w:r>
        <w:rPr>
          <w:rFonts w:hint="eastAsia"/>
          <w:sz w:val="30"/>
          <w:szCs w:val="30"/>
        </w:rPr>
        <w:t>1999</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日决定对被告人韦某汉、邵某刑事拘留，后因二被告人潜逃，于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日才将二被告人抓获归案，并对二被告人执行刑事拘留。</w:t>
      </w:r>
    </w:p>
    <w:p w:rsidR="00A57B70" w:rsidRDefault="00A57B70">
      <w:pPr>
        <w:spacing w:line="500" w:lineRule="atLeast"/>
        <w:ind w:firstLine="600"/>
        <w:divId w:val="1519193796"/>
        <w:rPr>
          <w:rFonts w:hint="eastAsia"/>
          <w:sz w:val="30"/>
          <w:szCs w:val="30"/>
        </w:rPr>
      </w:pPr>
      <w:r>
        <w:rPr>
          <w:rFonts w:hint="eastAsia"/>
          <w:sz w:val="30"/>
          <w:szCs w:val="30"/>
        </w:rPr>
        <w:t>以上事实，有下列证据予以证实：</w:t>
      </w:r>
      <w:r>
        <w:rPr>
          <w:rFonts w:hint="eastAsia"/>
          <w:sz w:val="30"/>
          <w:szCs w:val="30"/>
        </w:rPr>
        <w:t>1.</w:t>
      </w:r>
      <w:r>
        <w:rPr>
          <w:rFonts w:hint="eastAsia"/>
          <w:sz w:val="30"/>
          <w:szCs w:val="30"/>
        </w:rPr>
        <w:t>被告人韦某汉、邵某的供述；</w:t>
      </w:r>
      <w:r>
        <w:rPr>
          <w:rFonts w:hint="eastAsia"/>
          <w:sz w:val="30"/>
          <w:szCs w:val="30"/>
        </w:rPr>
        <w:t>2.</w:t>
      </w:r>
      <w:r>
        <w:rPr>
          <w:rFonts w:hint="eastAsia"/>
          <w:sz w:val="30"/>
          <w:szCs w:val="30"/>
        </w:rPr>
        <w:t>证人刘某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、邹某</w:t>
      </w:r>
      <w:r>
        <w:rPr>
          <w:rFonts w:hint="eastAsia"/>
          <w:sz w:val="30"/>
          <w:szCs w:val="30"/>
        </w:rPr>
        <w:t>1</w:t>
      </w:r>
      <w:r>
        <w:rPr>
          <w:rFonts w:hint="eastAsia"/>
          <w:sz w:val="30"/>
          <w:szCs w:val="30"/>
        </w:rPr>
        <w:t>、邹某</w:t>
      </w:r>
      <w:r>
        <w:rPr>
          <w:rFonts w:hint="eastAsia"/>
          <w:sz w:val="30"/>
          <w:szCs w:val="30"/>
        </w:rPr>
        <w:t>2</w:t>
      </w:r>
      <w:r>
        <w:rPr>
          <w:rFonts w:hint="eastAsia"/>
          <w:sz w:val="30"/>
          <w:szCs w:val="30"/>
        </w:rPr>
        <w:t>的证言；</w:t>
      </w:r>
      <w:r>
        <w:rPr>
          <w:rFonts w:hint="eastAsia"/>
          <w:sz w:val="30"/>
          <w:szCs w:val="30"/>
        </w:rPr>
        <w:t>3.</w:t>
      </w:r>
      <w:r>
        <w:rPr>
          <w:rFonts w:hint="eastAsia"/>
          <w:sz w:val="30"/>
          <w:szCs w:val="30"/>
        </w:rPr>
        <w:t>中国工商银行珠海市平沙支行的报案书、拘留决定书、拘留证、使用技侦手段审批表及关于对犯罪嫌疑人布控通知；</w:t>
      </w:r>
      <w:r>
        <w:rPr>
          <w:rFonts w:hint="eastAsia"/>
          <w:sz w:val="30"/>
          <w:szCs w:val="30"/>
        </w:rPr>
        <w:t>4.</w:t>
      </w:r>
      <w:r>
        <w:rPr>
          <w:rFonts w:hint="eastAsia"/>
          <w:sz w:val="30"/>
          <w:szCs w:val="30"/>
        </w:rPr>
        <w:t>移交接收证明、抓获经过；</w:t>
      </w:r>
      <w:r>
        <w:rPr>
          <w:rFonts w:hint="eastAsia"/>
          <w:sz w:val="30"/>
          <w:szCs w:val="30"/>
        </w:rPr>
        <w:t>5.</w:t>
      </w:r>
      <w:r>
        <w:rPr>
          <w:rFonts w:hint="eastAsia"/>
          <w:sz w:val="30"/>
          <w:szCs w:val="30"/>
        </w:rPr>
        <w:t>辨认笔录及指认照片；</w:t>
      </w:r>
      <w:r>
        <w:rPr>
          <w:rFonts w:hint="eastAsia"/>
          <w:sz w:val="30"/>
          <w:szCs w:val="30"/>
        </w:rPr>
        <w:t>6.355</w:t>
      </w:r>
      <w:r>
        <w:rPr>
          <w:rFonts w:hint="eastAsia"/>
          <w:sz w:val="30"/>
          <w:szCs w:val="30"/>
        </w:rPr>
        <w:t>万元人民币存款到工商银行平沙支行的情况经过；</w:t>
      </w:r>
      <w:r>
        <w:rPr>
          <w:rFonts w:hint="eastAsia"/>
          <w:sz w:val="30"/>
          <w:szCs w:val="30"/>
        </w:rPr>
        <w:t>7.</w:t>
      </w:r>
      <w:r>
        <w:rPr>
          <w:rFonts w:hint="eastAsia"/>
          <w:sz w:val="30"/>
          <w:szCs w:val="30"/>
        </w:rPr>
        <w:t>被告人韦某汉、邵某的户籍及任职证明材料；</w:t>
      </w:r>
      <w:r>
        <w:rPr>
          <w:rFonts w:hint="eastAsia"/>
          <w:sz w:val="30"/>
          <w:szCs w:val="30"/>
        </w:rPr>
        <w:t>8.</w:t>
      </w:r>
      <w:r>
        <w:rPr>
          <w:rFonts w:hint="eastAsia"/>
          <w:sz w:val="30"/>
          <w:szCs w:val="30"/>
        </w:rPr>
        <w:t>关于开除韦某汉、邵某公职的决定；</w:t>
      </w:r>
      <w:r>
        <w:rPr>
          <w:rFonts w:hint="eastAsia"/>
          <w:sz w:val="30"/>
          <w:szCs w:val="30"/>
        </w:rPr>
        <w:t>9.</w:t>
      </w:r>
      <w:r>
        <w:rPr>
          <w:rFonts w:hint="eastAsia"/>
          <w:sz w:val="30"/>
          <w:szCs w:val="30"/>
        </w:rPr>
        <w:t>太平洋保险公司主体证明材料；中国工商银行股份有限公司珠海分行及平沙支行的主体证明材料；</w:t>
      </w:r>
      <w:r>
        <w:rPr>
          <w:rFonts w:hint="eastAsia"/>
          <w:sz w:val="30"/>
          <w:szCs w:val="30"/>
        </w:rPr>
        <w:t>10.</w:t>
      </w:r>
      <w:r>
        <w:rPr>
          <w:rFonts w:hint="eastAsia"/>
          <w:sz w:val="30"/>
          <w:szCs w:val="30"/>
        </w:rPr>
        <w:t>涉案</w:t>
      </w:r>
      <w:r>
        <w:rPr>
          <w:rFonts w:hint="eastAsia"/>
          <w:sz w:val="30"/>
          <w:szCs w:val="30"/>
        </w:rPr>
        <w:t>355</w:t>
      </w:r>
      <w:r>
        <w:rPr>
          <w:rFonts w:hint="eastAsia"/>
          <w:sz w:val="30"/>
          <w:szCs w:val="30"/>
        </w:rPr>
        <w:t>万元存款的流转情况材料及查账证明材料；</w:t>
      </w:r>
      <w:r>
        <w:rPr>
          <w:rFonts w:hint="eastAsia"/>
          <w:sz w:val="30"/>
          <w:szCs w:val="30"/>
        </w:rPr>
        <w:t>11.</w:t>
      </w:r>
      <w:r>
        <w:rPr>
          <w:rFonts w:hint="eastAsia"/>
          <w:sz w:val="30"/>
          <w:szCs w:val="30"/>
        </w:rPr>
        <w:t>太平洋保险公司账户资金流转情况；贝某、李某、邵某、彭某、邹某</w:t>
      </w:r>
      <w:r>
        <w:rPr>
          <w:rFonts w:hint="eastAsia"/>
          <w:sz w:val="30"/>
          <w:szCs w:val="30"/>
        </w:rPr>
        <w:t>1</w:t>
      </w:r>
      <w:r>
        <w:rPr>
          <w:rFonts w:hint="eastAsia"/>
          <w:sz w:val="30"/>
          <w:szCs w:val="30"/>
        </w:rPr>
        <w:t>等人账户资金流转情况；</w:t>
      </w:r>
      <w:r>
        <w:rPr>
          <w:rFonts w:hint="eastAsia"/>
          <w:sz w:val="30"/>
          <w:szCs w:val="30"/>
        </w:rPr>
        <w:t>12.</w:t>
      </w:r>
      <w:r>
        <w:rPr>
          <w:rFonts w:hint="eastAsia"/>
          <w:sz w:val="30"/>
          <w:szCs w:val="30"/>
        </w:rPr>
        <w:t>珠海国际信托投资公司证券开户合同、大户开户资料卡、融资（借款）合同、电话委托股票交易协议、珠海营业部客户对账单、存款凭证、借款借据及融资呈批表等相关炒股相关资料；</w:t>
      </w:r>
      <w:r>
        <w:rPr>
          <w:rFonts w:hint="eastAsia"/>
          <w:sz w:val="30"/>
          <w:szCs w:val="30"/>
        </w:rPr>
        <w:t>13.</w:t>
      </w:r>
      <w:r>
        <w:rPr>
          <w:rFonts w:hint="eastAsia"/>
          <w:sz w:val="30"/>
          <w:szCs w:val="30"/>
        </w:rPr>
        <w:t>民事起诉状、关于请予支付定期存款的函、整存整取定期储蓄存单、利息计算清单、支票存根、关于太平洋保险公司珠海分公司</w:t>
      </w:r>
      <w:r>
        <w:rPr>
          <w:rFonts w:hint="eastAsia"/>
          <w:sz w:val="30"/>
          <w:szCs w:val="30"/>
        </w:rPr>
        <w:t>300</w:t>
      </w:r>
      <w:r>
        <w:rPr>
          <w:rFonts w:hint="eastAsia"/>
          <w:sz w:val="30"/>
          <w:szCs w:val="30"/>
        </w:rPr>
        <w:t>万元定期存款经过说明、关于给珠海市香洲区人民法院的函、存款经过说明；珠海市香洲区人民法院（</w:t>
      </w:r>
      <w:r>
        <w:rPr>
          <w:rFonts w:hint="eastAsia"/>
          <w:sz w:val="30"/>
          <w:szCs w:val="30"/>
        </w:rPr>
        <w:t>1999</w:t>
      </w:r>
      <w:r>
        <w:rPr>
          <w:rFonts w:hint="eastAsia"/>
          <w:sz w:val="30"/>
          <w:szCs w:val="30"/>
        </w:rPr>
        <w:t>）珠香经初字第</w:t>
      </w:r>
      <w:r>
        <w:rPr>
          <w:rFonts w:hint="eastAsia"/>
          <w:sz w:val="30"/>
          <w:szCs w:val="30"/>
        </w:rPr>
        <w:t>809</w:t>
      </w:r>
      <w:r>
        <w:rPr>
          <w:rFonts w:hint="eastAsia"/>
          <w:sz w:val="30"/>
          <w:szCs w:val="30"/>
        </w:rPr>
        <w:t>号《民事判决</w:t>
      </w:r>
      <w:r>
        <w:rPr>
          <w:rFonts w:hint="eastAsia"/>
          <w:sz w:val="30"/>
          <w:szCs w:val="30"/>
        </w:rPr>
        <w:t>书》；</w:t>
      </w:r>
      <w:r>
        <w:rPr>
          <w:rFonts w:hint="eastAsia"/>
          <w:sz w:val="30"/>
          <w:szCs w:val="30"/>
        </w:rPr>
        <w:t>14.</w:t>
      </w:r>
      <w:r>
        <w:rPr>
          <w:rFonts w:hint="eastAsia"/>
          <w:sz w:val="30"/>
          <w:szCs w:val="30"/>
        </w:rPr>
        <w:t>太平洋保险公司</w:t>
      </w:r>
      <w:r>
        <w:rPr>
          <w:rFonts w:hint="eastAsia"/>
          <w:sz w:val="30"/>
          <w:szCs w:val="30"/>
        </w:rPr>
        <w:t>300</w:t>
      </w:r>
      <w:r>
        <w:rPr>
          <w:rFonts w:hint="eastAsia"/>
          <w:sz w:val="30"/>
          <w:szCs w:val="30"/>
        </w:rPr>
        <w:t>万定存的相关资料、太平洋保险公司记账凭证、银行汇款通知、存款利息清单、进账单、资金汇划补充凭证、特种转账贷方传票及和解协议书。上述证据均经庭审举证、质证，各证据材料间能相互予以印证，本院予以确认。</w:t>
      </w:r>
    </w:p>
    <w:p w:rsidR="00A57B70" w:rsidRDefault="00A57B70">
      <w:pPr>
        <w:spacing w:line="500" w:lineRule="atLeast"/>
        <w:ind w:firstLine="600"/>
        <w:divId w:val="1990398918"/>
        <w:rPr>
          <w:rFonts w:hint="eastAsia"/>
          <w:sz w:val="30"/>
          <w:szCs w:val="30"/>
        </w:rPr>
      </w:pPr>
      <w:r>
        <w:rPr>
          <w:rFonts w:hint="eastAsia"/>
          <w:sz w:val="30"/>
          <w:szCs w:val="30"/>
        </w:rPr>
        <w:t>本院认为，被告人韦某汉、邵某身为国家工作人员，利用职务便利，挪用公款归个人使用并进行营利活动，情节严重，该共同行为已构成挪用公款罪。公诉机关指控被告人韦某汉、邵某的犯罪事实清楚，证据确实、充分，所指控罪名成立。被告人韦某汉、邵某为了吸收涉案的</w:t>
      </w:r>
      <w:r>
        <w:rPr>
          <w:rFonts w:hint="eastAsia"/>
          <w:sz w:val="30"/>
          <w:szCs w:val="30"/>
        </w:rPr>
        <w:t>355</w:t>
      </w:r>
      <w:r>
        <w:rPr>
          <w:rFonts w:hint="eastAsia"/>
          <w:sz w:val="30"/>
          <w:szCs w:val="30"/>
        </w:rPr>
        <w:t>万元存款，以达到挪用上述款项用于炒股的目的，并为此支付了部分利息，该利息属于为犯罪而支出的成本，不应当在挪用公款的犯罪数额中予以扣减，辩护人所提应当在挪用公款犯罪数额中扣减利息的意见不成立，本院不予采纳。被告人韦某汉、邵某为了达到挪用公款的目的，违反工商银行关于定期存款利率的规定，自愿以支付高额利息方式吸收存款，辩护人所提平沙支行和太平洋保险公司存在过错的意见不成立，本院不予采纳。被告人韦某汉利用其作为平沙支行储蓄所副主任并负责全面工作的职务便利，以开具定期存单的方式吸收涉案</w:t>
      </w:r>
      <w:r>
        <w:rPr>
          <w:rFonts w:hint="eastAsia"/>
          <w:sz w:val="30"/>
          <w:szCs w:val="30"/>
        </w:rPr>
        <w:t>355</w:t>
      </w:r>
      <w:r>
        <w:rPr>
          <w:rFonts w:hint="eastAsia"/>
          <w:sz w:val="30"/>
          <w:szCs w:val="30"/>
        </w:rPr>
        <w:t>万元存款，但并未按银行规定将储户活期存折内存款转存入定期存折，而是利用其职权在电脑上消除定期存款记录，并挪用上述存款用于炒股，其在共同犯罪中起主要作用，系主犯，应当对本案承担全部法律责任。被告人邵某明知被告人韦某汉要挪用储户存款用于炒股，仍提供私章帮助被告人韦某汉完成犯罪行为，其在共同犯罪中起次要作用，系从犯，应当减轻处罚。辩护人所提本案不应当区分主、从犯的意见不成立，本院不予采纳。被告人韦某汉、邵某均系初犯，归案后如实供述犯罪事实，有坦白情节，可以从轻处罚。辩护人其余辩护意见合理，本院予以采纳。被告人韦某汉、邵某的犯罪行为发</w:t>
      </w:r>
      <w:r>
        <w:rPr>
          <w:rFonts w:hint="eastAsia"/>
          <w:sz w:val="30"/>
          <w:szCs w:val="30"/>
        </w:rPr>
        <w:t>生在</w:t>
      </w:r>
      <w:r>
        <w:rPr>
          <w:rFonts w:hint="eastAsia"/>
          <w:sz w:val="30"/>
          <w:szCs w:val="30"/>
        </w:rPr>
        <w:t>1997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之前，结合本案的犯罪性质及数额，适用现行刑法进行定罪和量刑，对二被告人更为有利，故根据从旧兼从轻的原则，应当适用现行刑法的规定。据此，依照《中华人民共和国刑法》第三百八十四条第一款、第十二条、第二十五条、第二十六条、第二十七条、第六十七条第三款、第六十四条和《最高人民法院、最高人民检察院〈关于办理挪用公款贿赂案件刑事案件适用法律若干问题的意见〉》第六条的规定，判决如下：</w:t>
      </w:r>
    </w:p>
    <w:p w:rsidR="00A57B70" w:rsidRDefault="00A57B70">
      <w:pPr>
        <w:spacing w:line="500" w:lineRule="atLeast"/>
        <w:ind w:firstLine="600"/>
        <w:divId w:val="461074368"/>
        <w:rPr>
          <w:rFonts w:hint="eastAsia"/>
          <w:sz w:val="30"/>
          <w:szCs w:val="30"/>
        </w:rPr>
      </w:pPr>
      <w:r>
        <w:rPr>
          <w:rFonts w:hint="eastAsia"/>
          <w:sz w:val="30"/>
          <w:szCs w:val="30"/>
        </w:rPr>
        <w:t>一、被告人韦某汉犯挪用公款罪，判处有期徒刑七年；</w:t>
      </w:r>
    </w:p>
    <w:p w:rsidR="00A57B70" w:rsidRDefault="00A57B70">
      <w:pPr>
        <w:spacing w:line="500" w:lineRule="atLeast"/>
        <w:ind w:firstLine="600"/>
        <w:divId w:val="112073293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日止。）</w:t>
      </w:r>
    </w:p>
    <w:p w:rsidR="00A57B70" w:rsidRDefault="00A57B70">
      <w:pPr>
        <w:spacing w:line="500" w:lineRule="atLeast"/>
        <w:ind w:firstLine="600"/>
        <w:divId w:val="1574780428"/>
        <w:rPr>
          <w:rFonts w:hint="eastAsia"/>
          <w:sz w:val="30"/>
          <w:szCs w:val="30"/>
        </w:rPr>
      </w:pPr>
      <w:r>
        <w:rPr>
          <w:rFonts w:hint="eastAsia"/>
          <w:sz w:val="30"/>
          <w:szCs w:val="30"/>
        </w:rPr>
        <w:t>二、被告人邵某犯挪用公款罪，判处有期徒刑四年；</w:t>
      </w:r>
    </w:p>
    <w:p w:rsidR="00A57B70" w:rsidRDefault="00A57B70">
      <w:pPr>
        <w:spacing w:line="500" w:lineRule="atLeast"/>
        <w:ind w:firstLine="600"/>
        <w:divId w:val="201595309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日止。）</w:t>
      </w:r>
    </w:p>
    <w:p w:rsidR="00A57B70" w:rsidRDefault="00A57B70">
      <w:pPr>
        <w:spacing w:line="500" w:lineRule="atLeast"/>
        <w:ind w:firstLine="600"/>
        <w:divId w:val="1592852997"/>
        <w:rPr>
          <w:rFonts w:hint="eastAsia"/>
          <w:sz w:val="30"/>
          <w:szCs w:val="30"/>
        </w:rPr>
      </w:pPr>
      <w:r>
        <w:rPr>
          <w:rFonts w:hint="eastAsia"/>
          <w:sz w:val="30"/>
          <w:szCs w:val="30"/>
        </w:rPr>
        <w:t>三、责令被告人韦某汉、邵某退赔中国工商银行股份有限公司珠海平沙支行人民币三百五十五万元。</w:t>
      </w:r>
    </w:p>
    <w:p w:rsidR="00A57B70" w:rsidRDefault="00A57B70">
      <w:pPr>
        <w:spacing w:line="500" w:lineRule="atLeast"/>
        <w:ind w:firstLine="600"/>
        <w:divId w:val="1918124398"/>
        <w:rPr>
          <w:rFonts w:hint="eastAsia"/>
          <w:sz w:val="30"/>
          <w:szCs w:val="30"/>
        </w:rPr>
      </w:pPr>
      <w:r>
        <w:rPr>
          <w:rFonts w:hint="eastAsia"/>
          <w:sz w:val="30"/>
          <w:szCs w:val="30"/>
        </w:rPr>
        <w:t>如不服本判决，可在接到判决书的第二日起十日内，通过本院或者直接向广东省珠海市中级人民法院提起上诉。书面上诉的，应当提交上诉状正本一份，副本二份。</w:t>
      </w:r>
    </w:p>
    <w:p w:rsidR="00A57B70" w:rsidRDefault="00A57B70">
      <w:pPr>
        <w:spacing w:line="500" w:lineRule="atLeast"/>
        <w:jc w:val="right"/>
        <w:divId w:val="573321424"/>
        <w:rPr>
          <w:rFonts w:hint="eastAsia"/>
          <w:sz w:val="30"/>
          <w:szCs w:val="30"/>
        </w:rPr>
      </w:pPr>
      <w:r>
        <w:rPr>
          <w:rFonts w:hint="eastAsia"/>
          <w:sz w:val="30"/>
          <w:szCs w:val="30"/>
        </w:rPr>
        <w:t>审　判　长　　许　金</w:t>
      </w:r>
    </w:p>
    <w:p w:rsidR="00A57B70" w:rsidRDefault="00A57B70">
      <w:pPr>
        <w:spacing w:line="500" w:lineRule="atLeast"/>
        <w:jc w:val="right"/>
        <w:divId w:val="1156799958"/>
        <w:rPr>
          <w:rFonts w:hint="eastAsia"/>
          <w:sz w:val="30"/>
          <w:szCs w:val="30"/>
        </w:rPr>
      </w:pPr>
      <w:r>
        <w:rPr>
          <w:rFonts w:hint="eastAsia"/>
          <w:sz w:val="30"/>
          <w:szCs w:val="30"/>
        </w:rPr>
        <w:t>人民陪审员　　张水金</w:t>
      </w:r>
    </w:p>
    <w:p w:rsidR="00A57B70" w:rsidRDefault="00A57B70">
      <w:pPr>
        <w:spacing w:line="500" w:lineRule="atLeast"/>
        <w:jc w:val="right"/>
        <w:divId w:val="2019652773"/>
        <w:rPr>
          <w:rFonts w:hint="eastAsia"/>
          <w:sz w:val="30"/>
          <w:szCs w:val="30"/>
        </w:rPr>
      </w:pPr>
      <w:r>
        <w:rPr>
          <w:rFonts w:hint="eastAsia"/>
          <w:sz w:val="30"/>
          <w:szCs w:val="30"/>
        </w:rPr>
        <w:t>人民陪审员　　张燕红</w:t>
      </w:r>
    </w:p>
    <w:p w:rsidR="00A57B70" w:rsidRDefault="00A57B70">
      <w:pPr>
        <w:spacing w:line="500" w:lineRule="atLeast"/>
        <w:jc w:val="right"/>
        <w:divId w:val="344788046"/>
        <w:rPr>
          <w:rFonts w:hint="eastAsia"/>
          <w:sz w:val="30"/>
          <w:szCs w:val="30"/>
        </w:rPr>
      </w:pPr>
      <w:r>
        <w:rPr>
          <w:rFonts w:hint="eastAsia"/>
          <w:sz w:val="30"/>
          <w:szCs w:val="30"/>
        </w:rPr>
        <w:t>二〇一七年五月十二日</w:t>
      </w:r>
    </w:p>
    <w:p w:rsidR="00A57B70" w:rsidRDefault="00A57B70">
      <w:pPr>
        <w:spacing w:line="500" w:lineRule="atLeast"/>
        <w:jc w:val="right"/>
        <w:divId w:val="129829577"/>
        <w:rPr>
          <w:rFonts w:hint="eastAsia"/>
          <w:sz w:val="30"/>
          <w:szCs w:val="30"/>
        </w:rPr>
      </w:pPr>
      <w:r>
        <w:rPr>
          <w:rFonts w:hint="eastAsia"/>
          <w:sz w:val="30"/>
          <w:szCs w:val="30"/>
        </w:rPr>
        <w:t>书　记　员　　曹大起</w:t>
      </w:r>
    </w:p>
    <w:p w:rsidR="00A57B70" w:rsidRDefault="00A57B70">
      <w:pPr>
        <w:spacing w:line="500" w:lineRule="atLeast"/>
        <w:ind w:firstLine="600"/>
        <w:divId w:val="1505239330"/>
        <w:rPr>
          <w:rFonts w:hint="eastAsia"/>
          <w:sz w:val="30"/>
          <w:szCs w:val="30"/>
        </w:rPr>
      </w:pPr>
      <w:r>
        <w:rPr>
          <w:rFonts w:hint="eastAsia"/>
          <w:sz w:val="30"/>
          <w:szCs w:val="30"/>
        </w:rPr>
        <w:t>附相关法律条文</w:t>
      </w:r>
    </w:p>
    <w:p w:rsidR="00A57B70" w:rsidRDefault="00A57B70">
      <w:pPr>
        <w:spacing w:line="500" w:lineRule="atLeast"/>
        <w:ind w:firstLine="600"/>
        <w:divId w:val="925655785"/>
        <w:rPr>
          <w:rFonts w:hint="eastAsia"/>
          <w:sz w:val="30"/>
          <w:szCs w:val="30"/>
        </w:rPr>
      </w:pPr>
      <w:r>
        <w:rPr>
          <w:rFonts w:hint="eastAsia"/>
          <w:sz w:val="30"/>
          <w:szCs w:val="30"/>
        </w:rPr>
        <w:t>一、《中华人民共和国刑法》有关条文：</w:t>
      </w:r>
    </w:p>
    <w:p w:rsidR="00A57B70" w:rsidRDefault="00A57B70">
      <w:pPr>
        <w:spacing w:line="500" w:lineRule="atLeast"/>
        <w:ind w:firstLine="600"/>
        <w:divId w:val="988020940"/>
        <w:rPr>
          <w:rFonts w:hint="eastAsia"/>
          <w:sz w:val="30"/>
          <w:szCs w:val="30"/>
        </w:rPr>
      </w:pPr>
      <w:r>
        <w:rPr>
          <w:rFonts w:hint="eastAsia"/>
          <w:sz w:val="30"/>
          <w:szCs w:val="30"/>
        </w:rPr>
        <w:t>第三百八十四条【挪用公款罪】国</w:t>
      </w:r>
      <w:r>
        <w:rPr>
          <w:rFonts w:hint="eastAsia"/>
          <w:sz w:val="30"/>
          <w:szCs w:val="30"/>
        </w:rPr>
        <w:t>家工作人员利用职务上的便利，挪用公款归个人使用，进行非法活动的，或者挪用公款数额较大、进行营利活动的，或者挪用公款数额较大、超过三个月未还的，是挪用公款罪，处五年以下有期徒刑或者拘役</w:t>
      </w:r>
      <w:r>
        <w:rPr>
          <w:rFonts w:hint="eastAsia"/>
          <w:sz w:val="30"/>
          <w:szCs w:val="30"/>
        </w:rPr>
        <w:t>;</w:t>
      </w:r>
      <w:r>
        <w:rPr>
          <w:rFonts w:hint="eastAsia"/>
          <w:sz w:val="30"/>
          <w:szCs w:val="30"/>
        </w:rPr>
        <w:t>情节严重的，处五年以上有期徒刑。挪用公款数额巨大不退还的，处十年以上有期徒刑或者无期徒刑。</w:t>
      </w:r>
    </w:p>
    <w:p w:rsidR="00A57B70" w:rsidRDefault="00A57B70">
      <w:pPr>
        <w:spacing w:line="500" w:lineRule="atLeast"/>
        <w:ind w:firstLine="600"/>
        <w:divId w:val="608048366"/>
        <w:rPr>
          <w:rFonts w:hint="eastAsia"/>
          <w:sz w:val="30"/>
          <w:szCs w:val="30"/>
        </w:rPr>
      </w:pPr>
      <w:r>
        <w:rPr>
          <w:rFonts w:hint="eastAsia"/>
          <w:sz w:val="30"/>
          <w:szCs w:val="30"/>
        </w:rPr>
        <w:t>挪用用于救灾、抢险、防汛、优抚、扶贫、移民、救济款物归个人使用的，从重处罚。</w:t>
      </w:r>
    </w:p>
    <w:p w:rsidR="00A57B70" w:rsidRDefault="00A57B70">
      <w:pPr>
        <w:spacing w:line="500" w:lineRule="atLeast"/>
        <w:ind w:firstLine="600"/>
        <w:divId w:val="130252585"/>
        <w:rPr>
          <w:rFonts w:hint="eastAsia"/>
          <w:sz w:val="30"/>
          <w:szCs w:val="30"/>
        </w:rPr>
      </w:pPr>
      <w:r>
        <w:rPr>
          <w:rFonts w:hint="eastAsia"/>
          <w:sz w:val="30"/>
          <w:szCs w:val="30"/>
        </w:rPr>
        <w:t>第十二条【刑法的溯及力】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A57B70" w:rsidRDefault="00A57B70">
      <w:pPr>
        <w:spacing w:line="500" w:lineRule="atLeast"/>
        <w:ind w:firstLine="600"/>
        <w:divId w:val="2042509106"/>
        <w:rPr>
          <w:rFonts w:hint="eastAsia"/>
          <w:sz w:val="30"/>
          <w:szCs w:val="30"/>
        </w:rPr>
      </w:pPr>
      <w:r>
        <w:rPr>
          <w:rFonts w:hint="eastAsia"/>
          <w:sz w:val="30"/>
          <w:szCs w:val="30"/>
        </w:rPr>
        <w:t>本法施行以前，依照当时的法律已经作出的生效判决，继续有效。</w:t>
      </w:r>
    </w:p>
    <w:p w:rsidR="00A57B70" w:rsidRDefault="00A57B70">
      <w:pPr>
        <w:spacing w:line="500" w:lineRule="atLeast"/>
        <w:ind w:firstLine="600"/>
        <w:divId w:val="382172031"/>
        <w:rPr>
          <w:rFonts w:hint="eastAsia"/>
          <w:sz w:val="30"/>
          <w:szCs w:val="30"/>
        </w:rPr>
      </w:pPr>
      <w:r>
        <w:rPr>
          <w:rFonts w:hint="eastAsia"/>
          <w:sz w:val="30"/>
          <w:szCs w:val="30"/>
        </w:rPr>
        <w:t>第二十五条【共同犯罪概念】共同犯罪是指二人以上共同故意犯罪。</w:t>
      </w:r>
    </w:p>
    <w:p w:rsidR="00A57B70" w:rsidRDefault="00A57B70">
      <w:pPr>
        <w:spacing w:line="500" w:lineRule="atLeast"/>
        <w:ind w:firstLine="600"/>
        <w:divId w:val="1947224625"/>
        <w:rPr>
          <w:rFonts w:hint="eastAsia"/>
          <w:sz w:val="30"/>
          <w:szCs w:val="30"/>
        </w:rPr>
      </w:pPr>
      <w:r>
        <w:rPr>
          <w:rFonts w:hint="eastAsia"/>
          <w:sz w:val="30"/>
          <w:szCs w:val="30"/>
        </w:rPr>
        <w:t>二人以上共同过失犯罪，不以共同犯罪论处；应当负刑事责任的，按照他们所犯的罪分别处罚。</w:t>
      </w:r>
    </w:p>
    <w:p w:rsidR="00A57B70" w:rsidRDefault="00A57B70">
      <w:pPr>
        <w:spacing w:line="500" w:lineRule="atLeast"/>
        <w:ind w:firstLine="600"/>
        <w:divId w:val="1489400274"/>
        <w:rPr>
          <w:rFonts w:hint="eastAsia"/>
          <w:sz w:val="30"/>
          <w:szCs w:val="30"/>
        </w:rPr>
      </w:pPr>
      <w:r>
        <w:rPr>
          <w:rFonts w:hint="eastAsia"/>
          <w:sz w:val="30"/>
          <w:szCs w:val="30"/>
        </w:rPr>
        <w:t>第二十六条【主犯】组织、领导犯罪集团进行犯罪活动的或者在共同犯罪中起主要作用的，是主犯。</w:t>
      </w:r>
    </w:p>
    <w:p w:rsidR="00A57B70" w:rsidRDefault="00A57B70">
      <w:pPr>
        <w:spacing w:line="500" w:lineRule="atLeast"/>
        <w:ind w:firstLine="600"/>
        <w:divId w:val="816841937"/>
        <w:rPr>
          <w:rFonts w:hint="eastAsia"/>
          <w:sz w:val="30"/>
          <w:szCs w:val="30"/>
        </w:rPr>
      </w:pPr>
      <w:r>
        <w:rPr>
          <w:rFonts w:hint="eastAsia"/>
          <w:sz w:val="30"/>
          <w:szCs w:val="30"/>
        </w:rPr>
        <w:t>三人以上为共同实施犯罪而组成的较为固定的犯罪组织，是犯罪集团。</w:t>
      </w:r>
    </w:p>
    <w:p w:rsidR="00A57B70" w:rsidRDefault="00A57B70">
      <w:pPr>
        <w:spacing w:line="500" w:lineRule="atLeast"/>
        <w:ind w:firstLine="600"/>
        <w:divId w:val="1569530241"/>
        <w:rPr>
          <w:rFonts w:hint="eastAsia"/>
          <w:sz w:val="30"/>
          <w:szCs w:val="30"/>
        </w:rPr>
      </w:pPr>
      <w:r>
        <w:rPr>
          <w:rFonts w:hint="eastAsia"/>
          <w:sz w:val="30"/>
          <w:szCs w:val="30"/>
        </w:rPr>
        <w:t>对组织、领导犯罪集团的首要分子，按照集团所犯的全部罪行处罚。</w:t>
      </w:r>
    </w:p>
    <w:p w:rsidR="00A57B70" w:rsidRDefault="00A57B70">
      <w:pPr>
        <w:spacing w:line="500" w:lineRule="atLeast"/>
        <w:ind w:firstLine="600"/>
        <w:divId w:val="1772966627"/>
        <w:rPr>
          <w:rFonts w:hint="eastAsia"/>
          <w:sz w:val="30"/>
          <w:szCs w:val="30"/>
        </w:rPr>
      </w:pPr>
      <w:r>
        <w:rPr>
          <w:rFonts w:hint="eastAsia"/>
          <w:sz w:val="30"/>
          <w:szCs w:val="30"/>
        </w:rPr>
        <w:t>对于第三款规定以外的主犯，应当按照其所参与的或者组织、指挥的全部犯罪处罚。</w:t>
      </w:r>
    </w:p>
    <w:p w:rsidR="00A57B70" w:rsidRDefault="00A57B70">
      <w:pPr>
        <w:spacing w:line="500" w:lineRule="atLeast"/>
        <w:ind w:firstLine="600"/>
        <w:divId w:val="2013990639"/>
        <w:rPr>
          <w:rFonts w:hint="eastAsia"/>
          <w:sz w:val="30"/>
          <w:szCs w:val="30"/>
        </w:rPr>
      </w:pPr>
      <w:r>
        <w:rPr>
          <w:rFonts w:hint="eastAsia"/>
          <w:sz w:val="30"/>
          <w:szCs w:val="30"/>
        </w:rPr>
        <w:t>第二十七条【从犯】在共同犯罪中起次要或者辅助作用的，是从犯。</w:t>
      </w:r>
    </w:p>
    <w:p w:rsidR="00A57B70" w:rsidRDefault="00A57B70">
      <w:pPr>
        <w:spacing w:line="500" w:lineRule="atLeast"/>
        <w:ind w:firstLine="600"/>
        <w:divId w:val="1913007422"/>
        <w:rPr>
          <w:rFonts w:hint="eastAsia"/>
          <w:sz w:val="30"/>
          <w:szCs w:val="30"/>
        </w:rPr>
      </w:pPr>
      <w:r>
        <w:rPr>
          <w:rFonts w:hint="eastAsia"/>
          <w:sz w:val="30"/>
          <w:szCs w:val="30"/>
        </w:rPr>
        <w:t>对于从犯，应当从轻、减轻处罚或者免除处罚。</w:t>
      </w:r>
    </w:p>
    <w:p w:rsidR="00A57B70" w:rsidRDefault="00A57B70">
      <w:pPr>
        <w:spacing w:line="500" w:lineRule="atLeast"/>
        <w:ind w:firstLine="600"/>
        <w:divId w:val="877281375"/>
        <w:rPr>
          <w:rFonts w:hint="eastAsia"/>
          <w:sz w:val="30"/>
          <w:szCs w:val="30"/>
        </w:rPr>
      </w:pPr>
      <w:r>
        <w:rPr>
          <w:rFonts w:hint="eastAsia"/>
          <w:sz w:val="30"/>
          <w:szCs w:val="30"/>
        </w:rPr>
        <w:t>第六十七条【自首和认罪态度】犯罪以后自动投案，如实供述自己的罪行的，是自首。对于自首的犯罪分子，可以从轻或者减轻处罚。其中，罪行较轻的，可以免除处罚。</w:t>
      </w:r>
    </w:p>
    <w:p w:rsidR="00A57B70" w:rsidRDefault="00A57B70">
      <w:pPr>
        <w:spacing w:line="500" w:lineRule="atLeast"/>
        <w:ind w:firstLine="600"/>
        <w:divId w:val="23390370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57B70" w:rsidRDefault="00A57B70">
      <w:pPr>
        <w:spacing w:line="500" w:lineRule="atLeast"/>
        <w:ind w:firstLine="600"/>
        <w:divId w:val="165834142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A57B70" w:rsidRDefault="00A57B70">
      <w:pPr>
        <w:spacing w:line="500" w:lineRule="atLeast"/>
        <w:ind w:firstLine="600"/>
        <w:divId w:val="733432246"/>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rsidR="00A57B70" w:rsidRDefault="00A57B70">
      <w:pPr>
        <w:spacing w:line="500" w:lineRule="atLeast"/>
        <w:ind w:firstLine="600"/>
        <w:divId w:val="1760908660"/>
        <w:rPr>
          <w:rFonts w:hint="eastAsia"/>
          <w:sz w:val="30"/>
          <w:szCs w:val="30"/>
        </w:rPr>
      </w:pPr>
      <w:r>
        <w:rPr>
          <w:rFonts w:hint="eastAsia"/>
          <w:sz w:val="30"/>
          <w:szCs w:val="30"/>
        </w:rPr>
        <w:t>二、《最高人民法院、最高人民检察院〈关于办理贪污贿赂刑事案件适用法律若干问题的解释〉》</w:t>
      </w:r>
    </w:p>
    <w:p w:rsidR="00A57B70" w:rsidRDefault="00A57B70">
      <w:pPr>
        <w:spacing w:line="500" w:lineRule="atLeast"/>
        <w:ind w:firstLine="600"/>
        <w:divId w:val="1631590935"/>
        <w:rPr>
          <w:rFonts w:hint="eastAsia"/>
          <w:sz w:val="30"/>
          <w:szCs w:val="30"/>
        </w:rPr>
      </w:pPr>
      <w:r>
        <w:rPr>
          <w:rFonts w:hint="eastAsia"/>
          <w:sz w:val="30"/>
          <w:szCs w:val="30"/>
        </w:rPr>
        <w:t>第六条挪用公款归个人使用，进行营利活动或者超过</w:t>
      </w:r>
      <w:r>
        <w:rPr>
          <w:rFonts w:hint="eastAsia"/>
          <w:sz w:val="30"/>
          <w:szCs w:val="30"/>
        </w:rPr>
        <w:t>3</w:t>
      </w:r>
      <w:r>
        <w:rPr>
          <w:rFonts w:hint="eastAsia"/>
          <w:sz w:val="30"/>
          <w:szCs w:val="30"/>
        </w:rPr>
        <w:t>个月未还，数额在</w:t>
      </w:r>
      <w:r>
        <w:rPr>
          <w:rFonts w:hint="eastAsia"/>
          <w:sz w:val="30"/>
          <w:szCs w:val="30"/>
        </w:rPr>
        <w:t>5</w:t>
      </w:r>
      <w:r>
        <w:rPr>
          <w:rFonts w:hint="eastAsia"/>
          <w:sz w:val="30"/>
          <w:szCs w:val="30"/>
        </w:rPr>
        <w:t>万元以上的，应当认定为刑法第三百八十四条第一款规定的“数额较大”；数额在</w:t>
      </w:r>
      <w:r>
        <w:rPr>
          <w:rFonts w:hint="eastAsia"/>
          <w:sz w:val="30"/>
          <w:szCs w:val="30"/>
        </w:rPr>
        <w:t>500</w:t>
      </w:r>
      <w:r>
        <w:rPr>
          <w:rFonts w:hint="eastAsia"/>
          <w:sz w:val="30"/>
          <w:szCs w:val="30"/>
        </w:rPr>
        <w:t>万元以上的，应当认定为刑法第三百八十四条第一款规定的“数额巨大”。具有下列情形之一的，应当认定为刑法第三百八十四条第一款规定的“情节严重”：</w:t>
      </w:r>
    </w:p>
    <w:p w:rsidR="00A57B70" w:rsidRDefault="00A57B70">
      <w:pPr>
        <w:spacing w:line="500" w:lineRule="atLeast"/>
        <w:ind w:firstLine="600"/>
        <w:divId w:val="1805007518"/>
        <w:rPr>
          <w:rFonts w:hint="eastAsia"/>
          <w:sz w:val="30"/>
          <w:szCs w:val="30"/>
        </w:rPr>
      </w:pPr>
      <w:r>
        <w:rPr>
          <w:rFonts w:hint="eastAsia"/>
          <w:sz w:val="30"/>
          <w:szCs w:val="30"/>
        </w:rPr>
        <w:t>（一）挪用公款数额在</w:t>
      </w:r>
      <w:r>
        <w:rPr>
          <w:rFonts w:hint="eastAsia"/>
          <w:sz w:val="30"/>
          <w:szCs w:val="30"/>
        </w:rPr>
        <w:t>200</w:t>
      </w:r>
      <w:r>
        <w:rPr>
          <w:rFonts w:hint="eastAsia"/>
          <w:sz w:val="30"/>
          <w:szCs w:val="30"/>
        </w:rPr>
        <w:t>万元以上的；（二）挪用救灾、抢险、防汛、优抚、扶贫、移民、救济特定款物，数额在</w:t>
      </w:r>
      <w:r>
        <w:rPr>
          <w:rFonts w:hint="eastAsia"/>
          <w:sz w:val="30"/>
          <w:szCs w:val="30"/>
        </w:rPr>
        <w:t>100</w:t>
      </w:r>
      <w:r>
        <w:rPr>
          <w:rFonts w:hint="eastAsia"/>
          <w:sz w:val="30"/>
          <w:szCs w:val="30"/>
        </w:rPr>
        <w:t>万元以上不满</w:t>
      </w:r>
      <w:r>
        <w:rPr>
          <w:rFonts w:hint="eastAsia"/>
          <w:sz w:val="30"/>
          <w:szCs w:val="30"/>
        </w:rPr>
        <w:t>200</w:t>
      </w:r>
      <w:r>
        <w:rPr>
          <w:rFonts w:hint="eastAsia"/>
          <w:sz w:val="30"/>
          <w:szCs w:val="30"/>
        </w:rPr>
        <w:t>万元的；（三）挪用公款不退还，数额在</w:t>
      </w:r>
      <w:r>
        <w:rPr>
          <w:rFonts w:hint="eastAsia"/>
          <w:sz w:val="30"/>
          <w:szCs w:val="30"/>
        </w:rPr>
        <w:t>100</w:t>
      </w:r>
      <w:r>
        <w:rPr>
          <w:rFonts w:hint="eastAsia"/>
          <w:sz w:val="30"/>
          <w:szCs w:val="30"/>
        </w:rPr>
        <w:t>万元以上不满</w:t>
      </w:r>
      <w:r>
        <w:rPr>
          <w:rFonts w:hint="eastAsia"/>
          <w:sz w:val="30"/>
          <w:szCs w:val="30"/>
        </w:rPr>
        <w:t>200</w:t>
      </w:r>
      <w:r>
        <w:rPr>
          <w:rFonts w:hint="eastAsia"/>
          <w:sz w:val="30"/>
          <w:szCs w:val="30"/>
        </w:rPr>
        <w:t>万元的；（四）其他严重情节的。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57B70" w:rsidRDefault="00A57B70" w:rsidP="00A57B70">
      <w:pPr>
        <w:rPr>
          <w:rFonts w:hint="eastAsia"/>
        </w:rPr>
      </w:pPr>
      <w:r>
        <w:separator/>
      </w:r>
    </w:p>
  </w:endnote>
  <w:endnote w:type="continuationSeparator" w:id="0">
    <w:p w:rsidR="00A57B70" w:rsidRDefault="00A57B70" w:rsidP="00A57B7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57B70" w:rsidRDefault="00A57B70" w:rsidP="00A57B70">
      <w:pPr>
        <w:rPr>
          <w:rFonts w:hint="eastAsia"/>
        </w:rPr>
      </w:pPr>
      <w:r>
        <w:separator/>
      </w:r>
    </w:p>
  </w:footnote>
  <w:footnote w:type="continuationSeparator" w:id="0">
    <w:p w:rsidR="00A57B70" w:rsidRDefault="00A57B70" w:rsidP="00A57B7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57B70"/>
    <w:rsid w:val="002A6721"/>
    <w:rsid w:val="00A57B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57B70"/>
    <w:pPr>
      <w:tabs>
        <w:tab w:val="center" w:pos="4153"/>
        <w:tab w:val="right" w:pos="8306"/>
      </w:tabs>
      <w:snapToGrid w:val="0"/>
      <w:jc w:val="center"/>
    </w:pPr>
    <w:rPr>
      <w:sz w:val="18"/>
      <w:szCs w:val="18"/>
    </w:rPr>
  </w:style>
  <w:style w:type="character" w:customStyle="1" w:styleId="a4">
    <w:name w:val="页眉 字符"/>
    <w:basedOn w:val="a0"/>
    <w:link w:val="a3"/>
    <w:uiPriority w:val="99"/>
    <w:rsid w:val="00A57B70"/>
    <w:rPr>
      <w:rFonts w:ascii="宋体" w:eastAsia="宋体" w:hAnsi="宋体" w:cs="宋体"/>
      <w:sz w:val="18"/>
      <w:szCs w:val="18"/>
    </w:rPr>
  </w:style>
  <w:style w:type="paragraph" w:styleId="a5">
    <w:name w:val="footer"/>
    <w:basedOn w:val="a"/>
    <w:link w:val="a6"/>
    <w:uiPriority w:val="99"/>
    <w:unhideWhenUsed/>
    <w:rsid w:val="00A57B70"/>
    <w:pPr>
      <w:tabs>
        <w:tab w:val="center" w:pos="4153"/>
        <w:tab w:val="right" w:pos="8306"/>
      </w:tabs>
      <w:snapToGrid w:val="0"/>
    </w:pPr>
    <w:rPr>
      <w:sz w:val="18"/>
      <w:szCs w:val="18"/>
    </w:rPr>
  </w:style>
  <w:style w:type="character" w:customStyle="1" w:styleId="a6">
    <w:name w:val="页脚 字符"/>
    <w:basedOn w:val="a0"/>
    <w:link w:val="a5"/>
    <w:uiPriority w:val="99"/>
    <w:rsid w:val="00A57B7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829577">
      <w:marLeft w:val="0"/>
      <w:marRight w:val="720"/>
      <w:marTop w:val="10"/>
      <w:marBottom w:val="10"/>
      <w:divBdr>
        <w:top w:val="none" w:sz="0" w:space="0" w:color="auto"/>
        <w:left w:val="none" w:sz="0" w:space="0" w:color="auto"/>
        <w:bottom w:val="none" w:sz="0" w:space="0" w:color="auto"/>
        <w:right w:val="none" w:sz="0" w:space="0" w:color="auto"/>
      </w:divBdr>
    </w:div>
    <w:div w:id="130252585">
      <w:marLeft w:val="0"/>
      <w:marRight w:val="0"/>
      <w:marTop w:val="10"/>
      <w:marBottom w:val="10"/>
      <w:divBdr>
        <w:top w:val="none" w:sz="0" w:space="0" w:color="auto"/>
        <w:left w:val="none" w:sz="0" w:space="0" w:color="auto"/>
        <w:bottom w:val="none" w:sz="0" w:space="0" w:color="auto"/>
        <w:right w:val="none" w:sz="0" w:space="0" w:color="auto"/>
      </w:divBdr>
    </w:div>
    <w:div w:id="157814294">
      <w:marLeft w:val="0"/>
      <w:marRight w:val="0"/>
      <w:marTop w:val="10"/>
      <w:marBottom w:val="10"/>
      <w:divBdr>
        <w:top w:val="none" w:sz="0" w:space="0" w:color="auto"/>
        <w:left w:val="none" w:sz="0" w:space="0" w:color="auto"/>
        <w:bottom w:val="none" w:sz="0" w:space="0" w:color="auto"/>
        <w:right w:val="none" w:sz="0" w:space="0" w:color="auto"/>
      </w:divBdr>
    </w:div>
    <w:div w:id="233903702">
      <w:marLeft w:val="0"/>
      <w:marRight w:val="0"/>
      <w:marTop w:val="10"/>
      <w:marBottom w:val="10"/>
      <w:divBdr>
        <w:top w:val="none" w:sz="0" w:space="0" w:color="auto"/>
        <w:left w:val="none" w:sz="0" w:space="0" w:color="auto"/>
        <w:bottom w:val="none" w:sz="0" w:space="0" w:color="auto"/>
        <w:right w:val="none" w:sz="0" w:space="0" w:color="auto"/>
      </w:divBdr>
    </w:div>
    <w:div w:id="323438489">
      <w:marLeft w:val="0"/>
      <w:marRight w:val="0"/>
      <w:marTop w:val="10"/>
      <w:marBottom w:val="10"/>
      <w:divBdr>
        <w:top w:val="none" w:sz="0" w:space="0" w:color="auto"/>
        <w:left w:val="none" w:sz="0" w:space="0" w:color="auto"/>
        <w:bottom w:val="none" w:sz="0" w:space="0" w:color="auto"/>
        <w:right w:val="none" w:sz="0" w:space="0" w:color="auto"/>
      </w:divBdr>
    </w:div>
    <w:div w:id="344788046">
      <w:marLeft w:val="0"/>
      <w:marRight w:val="720"/>
      <w:marTop w:val="10"/>
      <w:marBottom w:val="10"/>
      <w:divBdr>
        <w:top w:val="none" w:sz="0" w:space="0" w:color="auto"/>
        <w:left w:val="none" w:sz="0" w:space="0" w:color="auto"/>
        <w:bottom w:val="none" w:sz="0" w:space="0" w:color="auto"/>
        <w:right w:val="none" w:sz="0" w:space="0" w:color="auto"/>
      </w:divBdr>
    </w:div>
    <w:div w:id="382172031">
      <w:marLeft w:val="0"/>
      <w:marRight w:val="0"/>
      <w:marTop w:val="10"/>
      <w:marBottom w:val="10"/>
      <w:divBdr>
        <w:top w:val="none" w:sz="0" w:space="0" w:color="auto"/>
        <w:left w:val="none" w:sz="0" w:space="0" w:color="auto"/>
        <w:bottom w:val="none" w:sz="0" w:space="0" w:color="auto"/>
        <w:right w:val="none" w:sz="0" w:space="0" w:color="auto"/>
      </w:divBdr>
    </w:div>
    <w:div w:id="461074368">
      <w:marLeft w:val="0"/>
      <w:marRight w:val="0"/>
      <w:marTop w:val="10"/>
      <w:marBottom w:val="10"/>
      <w:divBdr>
        <w:top w:val="none" w:sz="0" w:space="0" w:color="auto"/>
        <w:left w:val="none" w:sz="0" w:space="0" w:color="auto"/>
        <w:bottom w:val="none" w:sz="0" w:space="0" w:color="auto"/>
        <w:right w:val="none" w:sz="0" w:space="0" w:color="auto"/>
      </w:divBdr>
    </w:div>
    <w:div w:id="495925845">
      <w:marLeft w:val="0"/>
      <w:marRight w:val="0"/>
      <w:marTop w:val="10"/>
      <w:marBottom w:val="10"/>
      <w:divBdr>
        <w:top w:val="none" w:sz="0" w:space="0" w:color="auto"/>
        <w:left w:val="none" w:sz="0" w:space="0" w:color="auto"/>
        <w:bottom w:val="none" w:sz="0" w:space="0" w:color="auto"/>
        <w:right w:val="none" w:sz="0" w:space="0" w:color="auto"/>
      </w:divBdr>
    </w:div>
    <w:div w:id="573321424">
      <w:marLeft w:val="0"/>
      <w:marRight w:val="720"/>
      <w:marTop w:val="10"/>
      <w:marBottom w:val="10"/>
      <w:divBdr>
        <w:top w:val="none" w:sz="0" w:space="0" w:color="auto"/>
        <w:left w:val="none" w:sz="0" w:space="0" w:color="auto"/>
        <w:bottom w:val="none" w:sz="0" w:space="0" w:color="auto"/>
        <w:right w:val="none" w:sz="0" w:space="0" w:color="auto"/>
      </w:divBdr>
    </w:div>
    <w:div w:id="608048366">
      <w:marLeft w:val="0"/>
      <w:marRight w:val="0"/>
      <w:marTop w:val="10"/>
      <w:marBottom w:val="10"/>
      <w:divBdr>
        <w:top w:val="none" w:sz="0" w:space="0" w:color="auto"/>
        <w:left w:val="none" w:sz="0" w:space="0" w:color="auto"/>
        <w:bottom w:val="none" w:sz="0" w:space="0" w:color="auto"/>
        <w:right w:val="none" w:sz="0" w:space="0" w:color="auto"/>
      </w:divBdr>
    </w:div>
    <w:div w:id="638152286">
      <w:marLeft w:val="0"/>
      <w:marRight w:val="0"/>
      <w:marTop w:val="10"/>
      <w:marBottom w:val="10"/>
      <w:divBdr>
        <w:top w:val="none" w:sz="0" w:space="0" w:color="auto"/>
        <w:left w:val="none" w:sz="0" w:space="0" w:color="auto"/>
        <w:bottom w:val="none" w:sz="0" w:space="0" w:color="auto"/>
        <w:right w:val="none" w:sz="0" w:space="0" w:color="auto"/>
      </w:divBdr>
    </w:div>
    <w:div w:id="641618614">
      <w:marLeft w:val="0"/>
      <w:marRight w:val="0"/>
      <w:marTop w:val="10"/>
      <w:marBottom w:val="10"/>
      <w:divBdr>
        <w:top w:val="none" w:sz="0" w:space="0" w:color="auto"/>
        <w:left w:val="none" w:sz="0" w:space="0" w:color="auto"/>
        <w:bottom w:val="none" w:sz="0" w:space="0" w:color="auto"/>
        <w:right w:val="none" w:sz="0" w:space="0" w:color="auto"/>
      </w:divBdr>
    </w:div>
    <w:div w:id="733432246">
      <w:marLeft w:val="0"/>
      <w:marRight w:val="0"/>
      <w:marTop w:val="10"/>
      <w:marBottom w:val="10"/>
      <w:divBdr>
        <w:top w:val="none" w:sz="0" w:space="0" w:color="auto"/>
        <w:left w:val="none" w:sz="0" w:space="0" w:color="auto"/>
        <w:bottom w:val="none" w:sz="0" w:space="0" w:color="auto"/>
        <w:right w:val="none" w:sz="0" w:space="0" w:color="auto"/>
      </w:divBdr>
    </w:div>
    <w:div w:id="816841937">
      <w:marLeft w:val="0"/>
      <w:marRight w:val="0"/>
      <w:marTop w:val="10"/>
      <w:marBottom w:val="10"/>
      <w:divBdr>
        <w:top w:val="none" w:sz="0" w:space="0" w:color="auto"/>
        <w:left w:val="none" w:sz="0" w:space="0" w:color="auto"/>
        <w:bottom w:val="none" w:sz="0" w:space="0" w:color="auto"/>
        <w:right w:val="none" w:sz="0" w:space="0" w:color="auto"/>
      </w:divBdr>
    </w:div>
    <w:div w:id="876162112">
      <w:marLeft w:val="0"/>
      <w:marRight w:val="0"/>
      <w:marTop w:val="10"/>
      <w:marBottom w:val="10"/>
      <w:divBdr>
        <w:top w:val="none" w:sz="0" w:space="0" w:color="auto"/>
        <w:left w:val="none" w:sz="0" w:space="0" w:color="auto"/>
        <w:bottom w:val="none" w:sz="0" w:space="0" w:color="auto"/>
        <w:right w:val="none" w:sz="0" w:space="0" w:color="auto"/>
      </w:divBdr>
    </w:div>
    <w:div w:id="877281375">
      <w:marLeft w:val="0"/>
      <w:marRight w:val="0"/>
      <w:marTop w:val="10"/>
      <w:marBottom w:val="10"/>
      <w:divBdr>
        <w:top w:val="none" w:sz="0" w:space="0" w:color="auto"/>
        <w:left w:val="none" w:sz="0" w:space="0" w:color="auto"/>
        <w:bottom w:val="none" w:sz="0" w:space="0" w:color="auto"/>
        <w:right w:val="none" w:sz="0" w:space="0" w:color="auto"/>
      </w:divBdr>
    </w:div>
    <w:div w:id="925655785">
      <w:marLeft w:val="0"/>
      <w:marRight w:val="0"/>
      <w:marTop w:val="10"/>
      <w:marBottom w:val="10"/>
      <w:divBdr>
        <w:top w:val="none" w:sz="0" w:space="0" w:color="auto"/>
        <w:left w:val="none" w:sz="0" w:space="0" w:color="auto"/>
        <w:bottom w:val="none" w:sz="0" w:space="0" w:color="auto"/>
        <w:right w:val="none" w:sz="0" w:space="0" w:color="auto"/>
      </w:divBdr>
    </w:div>
    <w:div w:id="926958336">
      <w:marLeft w:val="0"/>
      <w:marRight w:val="0"/>
      <w:marTop w:val="10"/>
      <w:marBottom w:val="10"/>
      <w:divBdr>
        <w:top w:val="none" w:sz="0" w:space="0" w:color="auto"/>
        <w:left w:val="none" w:sz="0" w:space="0" w:color="auto"/>
        <w:bottom w:val="none" w:sz="0" w:space="0" w:color="auto"/>
        <w:right w:val="none" w:sz="0" w:space="0" w:color="auto"/>
      </w:divBdr>
    </w:div>
    <w:div w:id="945499844">
      <w:marLeft w:val="0"/>
      <w:marRight w:val="0"/>
      <w:marTop w:val="10"/>
      <w:marBottom w:val="10"/>
      <w:divBdr>
        <w:top w:val="none" w:sz="0" w:space="0" w:color="auto"/>
        <w:left w:val="none" w:sz="0" w:space="0" w:color="auto"/>
        <w:bottom w:val="none" w:sz="0" w:space="0" w:color="auto"/>
        <w:right w:val="none" w:sz="0" w:space="0" w:color="auto"/>
      </w:divBdr>
    </w:div>
    <w:div w:id="949632247">
      <w:marLeft w:val="0"/>
      <w:marRight w:val="0"/>
      <w:marTop w:val="10"/>
      <w:marBottom w:val="10"/>
      <w:divBdr>
        <w:top w:val="none" w:sz="0" w:space="0" w:color="auto"/>
        <w:left w:val="none" w:sz="0" w:space="0" w:color="auto"/>
        <w:bottom w:val="none" w:sz="0" w:space="0" w:color="auto"/>
        <w:right w:val="none" w:sz="0" w:space="0" w:color="auto"/>
      </w:divBdr>
    </w:div>
    <w:div w:id="988020940">
      <w:marLeft w:val="0"/>
      <w:marRight w:val="0"/>
      <w:marTop w:val="10"/>
      <w:marBottom w:val="10"/>
      <w:divBdr>
        <w:top w:val="none" w:sz="0" w:space="0" w:color="auto"/>
        <w:left w:val="none" w:sz="0" w:space="0" w:color="auto"/>
        <w:bottom w:val="none" w:sz="0" w:space="0" w:color="auto"/>
        <w:right w:val="none" w:sz="0" w:space="0" w:color="auto"/>
      </w:divBdr>
    </w:div>
    <w:div w:id="1007561001">
      <w:marLeft w:val="0"/>
      <w:marRight w:val="0"/>
      <w:marTop w:val="10"/>
      <w:marBottom w:val="10"/>
      <w:divBdr>
        <w:top w:val="none" w:sz="0" w:space="0" w:color="auto"/>
        <w:left w:val="none" w:sz="0" w:space="0" w:color="auto"/>
        <w:bottom w:val="none" w:sz="0" w:space="0" w:color="auto"/>
        <w:right w:val="none" w:sz="0" w:space="0" w:color="auto"/>
      </w:divBdr>
    </w:div>
    <w:div w:id="1120732930">
      <w:marLeft w:val="0"/>
      <w:marRight w:val="0"/>
      <w:marTop w:val="10"/>
      <w:marBottom w:val="10"/>
      <w:divBdr>
        <w:top w:val="none" w:sz="0" w:space="0" w:color="auto"/>
        <w:left w:val="none" w:sz="0" w:space="0" w:color="auto"/>
        <w:bottom w:val="none" w:sz="0" w:space="0" w:color="auto"/>
        <w:right w:val="none" w:sz="0" w:space="0" w:color="auto"/>
      </w:divBdr>
    </w:div>
    <w:div w:id="1156799958">
      <w:marLeft w:val="0"/>
      <w:marRight w:val="720"/>
      <w:marTop w:val="10"/>
      <w:marBottom w:val="10"/>
      <w:divBdr>
        <w:top w:val="none" w:sz="0" w:space="0" w:color="auto"/>
        <w:left w:val="none" w:sz="0" w:space="0" w:color="auto"/>
        <w:bottom w:val="none" w:sz="0" w:space="0" w:color="auto"/>
        <w:right w:val="none" w:sz="0" w:space="0" w:color="auto"/>
      </w:divBdr>
    </w:div>
    <w:div w:id="1255748618">
      <w:marLeft w:val="0"/>
      <w:marRight w:val="0"/>
      <w:marTop w:val="10"/>
      <w:marBottom w:val="10"/>
      <w:divBdr>
        <w:top w:val="none" w:sz="0" w:space="0" w:color="auto"/>
        <w:left w:val="none" w:sz="0" w:space="0" w:color="auto"/>
        <w:bottom w:val="none" w:sz="0" w:space="0" w:color="auto"/>
        <w:right w:val="none" w:sz="0" w:space="0" w:color="auto"/>
      </w:divBdr>
    </w:div>
    <w:div w:id="1459882274">
      <w:marLeft w:val="0"/>
      <w:marRight w:val="0"/>
      <w:marTop w:val="10"/>
      <w:marBottom w:val="10"/>
      <w:divBdr>
        <w:top w:val="none" w:sz="0" w:space="0" w:color="auto"/>
        <w:left w:val="none" w:sz="0" w:space="0" w:color="auto"/>
        <w:bottom w:val="none" w:sz="0" w:space="0" w:color="auto"/>
        <w:right w:val="none" w:sz="0" w:space="0" w:color="auto"/>
      </w:divBdr>
    </w:div>
    <w:div w:id="1479222319">
      <w:marLeft w:val="0"/>
      <w:marRight w:val="0"/>
      <w:marTop w:val="10"/>
      <w:marBottom w:val="10"/>
      <w:divBdr>
        <w:top w:val="none" w:sz="0" w:space="0" w:color="auto"/>
        <w:left w:val="none" w:sz="0" w:space="0" w:color="auto"/>
        <w:bottom w:val="none" w:sz="0" w:space="0" w:color="auto"/>
        <w:right w:val="none" w:sz="0" w:space="0" w:color="auto"/>
      </w:divBdr>
    </w:div>
    <w:div w:id="1489400274">
      <w:marLeft w:val="0"/>
      <w:marRight w:val="0"/>
      <w:marTop w:val="10"/>
      <w:marBottom w:val="10"/>
      <w:divBdr>
        <w:top w:val="none" w:sz="0" w:space="0" w:color="auto"/>
        <w:left w:val="none" w:sz="0" w:space="0" w:color="auto"/>
        <w:bottom w:val="none" w:sz="0" w:space="0" w:color="auto"/>
        <w:right w:val="none" w:sz="0" w:space="0" w:color="auto"/>
      </w:divBdr>
    </w:div>
    <w:div w:id="1505239330">
      <w:marLeft w:val="0"/>
      <w:marRight w:val="0"/>
      <w:marTop w:val="10"/>
      <w:marBottom w:val="10"/>
      <w:divBdr>
        <w:top w:val="none" w:sz="0" w:space="0" w:color="auto"/>
        <w:left w:val="none" w:sz="0" w:space="0" w:color="auto"/>
        <w:bottom w:val="none" w:sz="0" w:space="0" w:color="auto"/>
        <w:right w:val="none" w:sz="0" w:space="0" w:color="auto"/>
      </w:divBdr>
    </w:div>
    <w:div w:id="1519193796">
      <w:marLeft w:val="0"/>
      <w:marRight w:val="0"/>
      <w:marTop w:val="10"/>
      <w:marBottom w:val="10"/>
      <w:divBdr>
        <w:top w:val="none" w:sz="0" w:space="0" w:color="auto"/>
        <w:left w:val="none" w:sz="0" w:space="0" w:color="auto"/>
        <w:bottom w:val="none" w:sz="0" w:space="0" w:color="auto"/>
        <w:right w:val="none" w:sz="0" w:space="0" w:color="auto"/>
      </w:divBdr>
    </w:div>
    <w:div w:id="1569530241">
      <w:marLeft w:val="0"/>
      <w:marRight w:val="0"/>
      <w:marTop w:val="10"/>
      <w:marBottom w:val="10"/>
      <w:divBdr>
        <w:top w:val="none" w:sz="0" w:space="0" w:color="auto"/>
        <w:left w:val="none" w:sz="0" w:space="0" w:color="auto"/>
        <w:bottom w:val="none" w:sz="0" w:space="0" w:color="auto"/>
        <w:right w:val="none" w:sz="0" w:space="0" w:color="auto"/>
      </w:divBdr>
    </w:div>
    <w:div w:id="1574780428">
      <w:marLeft w:val="0"/>
      <w:marRight w:val="0"/>
      <w:marTop w:val="10"/>
      <w:marBottom w:val="10"/>
      <w:divBdr>
        <w:top w:val="none" w:sz="0" w:space="0" w:color="auto"/>
        <w:left w:val="none" w:sz="0" w:space="0" w:color="auto"/>
        <w:bottom w:val="none" w:sz="0" w:space="0" w:color="auto"/>
        <w:right w:val="none" w:sz="0" w:space="0" w:color="auto"/>
      </w:divBdr>
    </w:div>
    <w:div w:id="1592852997">
      <w:marLeft w:val="0"/>
      <w:marRight w:val="0"/>
      <w:marTop w:val="10"/>
      <w:marBottom w:val="10"/>
      <w:divBdr>
        <w:top w:val="none" w:sz="0" w:space="0" w:color="auto"/>
        <w:left w:val="none" w:sz="0" w:space="0" w:color="auto"/>
        <w:bottom w:val="none" w:sz="0" w:space="0" w:color="auto"/>
        <w:right w:val="none" w:sz="0" w:space="0" w:color="auto"/>
      </w:divBdr>
    </w:div>
    <w:div w:id="1601600950">
      <w:marLeft w:val="0"/>
      <w:marRight w:val="0"/>
      <w:marTop w:val="10"/>
      <w:marBottom w:val="10"/>
      <w:divBdr>
        <w:top w:val="none" w:sz="0" w:space="0" w:color="auto"/>
        <w:left w:val="none" w:sz="0" w:space="0" w:color="auto"/>
        <w:bottom w:val="none" w:sz="0" w:space="0" w:color="auto"/>
        <w:right w:val="none" w:sz="0" w:space="0" w:color="auto"/>
      </w:divBdr>
    </w:div>
    <w:div w:id="1631590935">
      <w:marLeft w:val="0"/>
      <w:marRight w:val="0"/>
      <w:marTop w:val="10"/>
      <w:marBottom w:val="10"/>
      <w:divBdr>
        <w:top w:val="none" w:sz="0" w:space="0" w:color="auto"/>
        <w:left w:val="none" w:sz="0" w:space="0" w:color="auto"/>
        <w:bottom w:val="none" w:sz="0" w:space="0" w:color="auto"/>
        <w:right w:val="none" w:sz="0" w:space="0" w:color="auto"/>
      </w:divBdr>
    </w:div>
    <w:div w:id="1658341422">
      <w:marLeft w:val="0"/>
      <w:marRight w:val="0"/>
      <w:marTop w:val="10"/>
      <w:marBottom w:val="10"/>
      <w:divBdr>
        <w:top w:val="none" w:sz="0" w:space="0" w:color="auto"/>
        <w:left w:val="none" w:sz="0" w:space="0" w:color="auto"/>
        <w:bottom w:val="none" w:sz="0" w:space="0" w:color="auto"/>
        <w:right w:val="none" w:sz="0" w:space="0" w:color="auto"/>
      </w:divBdr>
    </w:div>
    <w:div w:id="1755054691">
      <w:marLeft w:val="0"/>
      <w:marRight w:val="0"/>
      <w:marTop w:val="10"/>
      <w:marBottom w:val="10"/>
      <w:divBdr>
        <w:top w:val="none" w:sz="0" w:space="0" w:color="auto"/>
        <w:left w:val="none" w:sz="0" w:space="0" w:color="auto"/>
        <w:bottom w:val="none" w:sz="0" w:space="0" w:color="auto"/>
        <w:right w:val="none" w:sz="0" w:space="0" w:color="auto"/>
      </w:divBdr>
    </w:div>
    <w:div w:id="1760908660">
      <w:marLeft w:val="0"/>
      <w:marRight w:val="0"/>
      <w:marTop w:val="10"/>
      <w:marBottom w:val="10"/>
      <w:divBdr>
        <w:top w:val="none" w:sz="0" w:space="0" w:color="auto"/>
        <w:left w:val="none" w:sz="0" w:space="0" w:color="auto"/>
        <w:bottom w:val="none" w:sz="0" w:space="0" w:color="auto"/>
        <w:right w:val="none" w:sz="0" w:space="0" w:color="auto"/>
      </w:divBdr>
    </w:div>
    <w:div w:id="1772966627">
      <w:marLeft w:val="0"/>
      <w:marRight w:val="0"/>
      <w:marTop w:val="10"/>
      <w:marBottom w:val="10"/>
      <w:divBdr>
        <w:top w:val="none" w:sz="0" w:space="0" w:color="auto"/>
        <w:left w:val="none" w:sz="0" w:space="0" w:color="auto"/>
        <w:bottom w:val="none" w:sz="0" w:space="0" w:color="auto"/>
        <w:right w:val="none" w:sz="0" w:space="0" w:color="auto"/>
      </w:divBdr>
    </w:div>
    <w:div w:id="1805007518">
      <w:marLeft w:val="0"/>
      <w:marRight w:val="0"/>
      <w:marTop w:val="10"/>
      <w:marBottom w:val="10"/>
      <w:divBdr>
        <w:top w:val="none" w:sz="0" w:space="0" w:color="auto"/>
        <w:left w:val="none" w:sz="0" w:space="0" w:color="auto"/>
        <w:bottom w:val="none" w:sz="0" w:space="0" w:color="auto"/>
        <w:right w:val="none" w:sz="0" w:space="0" w:color="auto"/>
      </w:divBdr>
    </w:div>
    <w:div w:id="1846742169">
      <w:marLeft w:val="0"/>
      <w:marRight w:val="0"/>
      <w:marTop w:val="10"/>
      <w:marBottom w:val="10"/>
      <w:divBdr>
        <w:top w:val="none" w:sz="0" w:space="0" w:color="auto"/>
        <w:left w:val="none" w:sz="0" w:space="0" w:color="auto"/>
        <w:bottom w:val="none" w:sz="0" w:space="0" w:color="auto"/>
        <w:right w:val="none" w:sz="0" w:space="0" w:color="auto"/>
      </w:divBdr>
    </w:div>
    <w:div w:id="1872495600">
      <w:marLeft w:val="0"/>
      <w:marRight w:val="0"/>
      <w:marTop w:val="10"/>
      <w:marBottom w:val="10"/>
      <w:divBdr>
        <w:top w:val="none" w:sz="0" w:space="0" w:color="auto"/>
        <w:left w:val="none" w:sz="0" w:space="0" w:color="auto"/>
        <w:bottom w:val="none" w:sz="0" w:space="0" w:color="auto"/>
        <w:right w:val="none" w:sz="0" w:space="0" w:color="auto"/>
      </w:divBdr>
    </w:div>
    <w:div w:id="1913007422">
      <w:marLeft w:val="0"/>
      <w:marRight w:val="0"/>
      <w:marTop w:val="10"/>
      <w:marBottom w:val="10"/>
      <w:divBdr>
        <w:top w:val="none" w:sz="0" w:space="0" w:color="auto"/>
        <w:left w:val="none" w:sz="0" w:space="0" w:color="auto"/>
        <w:bottom w:val="none" w:sz="0" w:space="0" w:color="auto"/>
        <w:right w:val="none" w:sz="0" w:space="0" w:color="auto"/>
      </w:divBdr>
    </w:div>
    <w:div w:id="1918124398">
      <w:marLeft w:val="0"/>
      <w:marRight w:val="0"/>
      <w:marTop w:val="10"/>
      <w:marBottom w:val="10"/>
      <w:divBdr>
        <w:top w:val="none" w:sz="0" w:space="0" w:color="auto"/>
        <w:left w:val="none" w:sz="0" w:space="0" w:color="auto"/>
        <w:bottom w:val="none" w:sz="0" w:space="0" w:color="auto"/>
        <w:right w:val="none" w:sz="0" w:space="0" w:color="auto"/>
      </w:divBdr>
    </w:div>
    <w:div w:id="1947224625">
      <w:marLeft w:val="0"/>
      <w:marRight w:val="0"/>
      <w:marTop w:val="10"/>
      <w:marBottom w:val="10"/>
      <w:divBdr>
        <w:top w:val="none" w:sz="0" w:space="0" w:color="auto"/>
        <w:left w:val="none" w:sz="0" w:space="0" w:color="auto"/>
        <w:bottom w:val="none" w:sz="0" w:space="0" w:color="auto"/>
        <w:right w:val="none" w:sz="0" w:space="0" w:color="auto"/>
      </w:divBdr>
    </w:div>
    <w:div w:id="1990398918">
      <w:marLeft w:val="0"/>
      <w:marRight w:val="0"/>
      <w:marTop w:val="10"/>
      <w:marBottom w:val="10"/>
      <w:divBdr>
        <w:top w:val="none" w:sz="0" w:space="0" w:color="auto"/>
        <w:left w:val="none" w:sz="0" w:space="0" w:color="auto"/>
        <w:bottom w:val="none" w:sz="0" w:space="0" w:color="auto"/>
        <w:right w:val="none" w:sz="0" w:space="0" w:color="auto"/>
      </w:divBdr>
    </w:div>
    <w:div w:id="2013990639">
      <w:marLeft w:val="0"/>
      <w:marRight w:val="0"/>
      <w:marTop w:val="10"/>
      <w:marBottom w:val="10"/>
      <w:divBdr>
        <w:top w:val="none" w:sz="0" w:space="0" w:color="auto"/>
        <w:left w:val="none" w:sz="0" w:space="0" w:color="auto"/>
        <w:bottom w:val="none" w:sz="0" w:space="0" w:color="auto"/>
        <w:right w:val="none" w:sz="0" w:space="0" w:color="auto"/>
      </w:divBdr>
    </w:div>
    <w:div w:id="2015953098">
      <w:marLeft w:val="0"/>
      <w:marRight w:val="0"/>
      <w:marTop w:val="10"/>
      <w:marBottom w:val="10"/>
      <w:divBdr>
        <w:top w:val="none" w:sz="0" w:space="0" w:color="auto"/>
        <w:left w:val="none" w:sz="0" w:space="0" w:color="auto"/>
        <w:bottom w:val="none" w:sz="0" w:space="0" w:color="auto"/>
        <w:right w:val="none" w:sz="0" w:space="0" w:color="auto"/>
      </w:divBdr>
    </w:div>
    <w:div w:id="2019652773">
      <w:marLeft w:val="0"/>
      <w:marRight w:val="720"/>
      <w:marTop w:val="10"/>
      <w:marBottom w:val="10"/>
      <w:divBdr>
        <w:top w:val="none" w:sz="0" w:space="0" w:color="auto"/>
        <w:left w:val="none" w:sz="0" w:space="0" w:color="auto"/>
        <w:bottom w:val="none" w:sz="0" w:space="0" w:color="auto"/>
        <w:right w:val="none" w:sz="0" w:space="0" w:color="auto"/>
      </w:divBdr>
    </w:div>
    <w:div w:id="2033916066">
      <w:marLeft w:val="0"/>
      <w:marRight w:val="0"/>
      <w:marTop w:val="10"/>
      <w:marBottom w:val="10"/>
      <w:divBdr>
        <w:top w:val="none" w:sz="0" w:space="0" w:color="auto"/>
        <w:left w:val="none" w:sz="0" w:space="0" w:color="auto"/>
        <w:bottom w:val="none" w:sz="0" w:space="0" w:color="auto"/>
        <w:right w:val="none" w:sz="0" w:space="0" w:color="auto"/>
      </w:divBdr>
    </w:div>
    <w:div w:id="2041512087">
      <w:marLeft w:val="0"/>
      <w:marRight w:val="0"/>
      <w:marTop w:val="10"/>
      <w:marBottom w:val="10"/>
      <w:divBdr>
        <w:top w:val="none" w:sz="0" w:space="0" w:color="auto"/>
        <w:left w:val="none" w:sz="0" w:space="0" w:color="auto"/>
        <w:bottom w:val="none" w:sz="0" w:space="0" w:color="auto"/>
        <w:right w:val="none" w:sz="0" w:space="0" w:color="auto"/>
      </w:divBdr>
    </w:div>
    <w:div w:id="20425091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814</Words>
  <Characters>4643</Characters>
  <Application>Microsoft Office Word</Application>
  <DocSecurity>0</DocSecurity>
  <Lines>38</Lines>
  <Paragraphs>10</Paragraphs>
  <ScaleCrop>false</ScaleCrop>
  <Company/>
  <LinksUpToDate>false</LinksUpToDate>
  <CharactersWithSpaces>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