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7A50" w:rsidRDefault="00047A50">
      <w:pPr>
        <w:spacing w:line="500" w:lineRule="atLeast"/>
        <w:jc w:val="center"/>
        <w:divId w:val="708065336"/>
        <w:rPr>
          <w:rFonts w:ascii="黑体" w:eastAsia="黑体" w:hAnsi="黑体"/>
          <w:sz w:val="36"/>
          <w:szCs w:val="36"/>
        </w:rPr>
      </w:pPr>
      <w:r>
        <w:rPr>
          <w:rFonts w:ascii="黑体" w:eastAsia="黑体" w:hAnsi="黑体" w:hint="eastAsia"/>
          <w:sz w:val="36"/>
          <w:szCs w:val="36"/>
        </w:rPr>
        <w:t>广东省江门市新会区人民法院</w:t>
      </w:r>
    </w:p>
    <w:p w:rsidR="00047A50" w:rsidRDefault="00047A50">
      <w:pPr>
        <w:spacing w:line="500" w:lineRule="atLeast"/>
        <w:jc w:val="center"/>
        <w:divId w:val="12910094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47A50" w:rsidRDefault="00047A50">
      <w:pPr>
        <w:spacing w:line="500" w:lineRule="atLeast"/>
        <w:jc w:val="right"/>
        <w:divId w:val="105015674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677</w:t>
      </w:r>
      <w:r>
        <w:rPr>
          <w:rFonts w:hint="eastAsia"/>
          <w:sz w:val="30"/>
          <w:szCs w:val="30"/>
        </w:rPr>
        <w:t>号</w:t>
      </w:r>
    </w:p>
    <w:p w:rsidR="00047A50" w:rsidRDefault="00047A50">
      <w:pPr>
        <w:spacing w:line="500" w:lineRule="atLeast"/>
        <w:ind w:firstLine="600"/>
        <w:divId w:val="1699236850"/>
        <w:rPr>
          <w:rFonts w:hint="eastAsia"/>
          <w:sz w:val="30"/>
          <w:szCs w:val="30"/>
        </w:rPr>
      </w:pPr>
      <w:r>
        <w:rPr>
          <w:rFonts w:hint="eastAsia"/>
          <w:sz w:val="30"/>
          <w:szCs w:val="30"/>
        </w:rPr>
        <w:t>公诉机关江门市新会区人民检察院。</w:t>
      </w:r>
    </w:p>
    <w:p w:rsidR="00047A50" w:rsidRDefault="00047A50">
      <w:pPr>
        <w:spacing w:line="500" w:lineRule="atLeast"/>
        <w:ind w:firstLine="600"/>
        <w:divId w:val="720979422"/>
        <w:rPr>
          <w:rFonts w:hint="eastAsia"/>
          <w:sz w:val="30"/>
          <w:szCs w:val="30"/>
        </w:rPr>
      </w:pPr>
      <w:r>
        <w:rPr>
          <w:rFonts w:hint="eastAsia"/>
          <w:sz w:val="30"/>
          <w:szCs w:val="30"/>
        </w:rPr>
        <w:t>被告人骆某宏，男，</w:t>
      </w:r>
      <w:r>
        <w:rPr>
          <w:rFonts w:hint="eastAsia"/>
          <w:sz w:val="30"/>
          <w:szCs w:val="30"/>
        </w:rPr>
        <w:t>1978</w:t>
      </w:r>
      <w:r>
        <w:rPr>
          <w:rFonts w:hint="eastAsia"/>
          <w:sz w:val="30"/>
          <w:szCs w:val="30"/>
        </w:rPr>
        <w:t>年出生于广东省台山市，汉族，大专文化，原系台山市公安局治安管理大队科员。住台山市。因本案于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日被刑事拘留，同月</w:t>
      </w:r>
      <w:r>
        <w:rPr>
          <w:rFonts w:hint="eastAsia"/>
          <w:sz w:val="30"/>
          <w:szCs w:val="30"/>
        </w:rPr>
        <w:t>27</w:t>
      </w:r>
      <w:r>
        <w:rPr>
          <w:rFonts w:hint="eastAsia"/>
          <w:sz w:val="30"/>
          <w:szCs w:val="30"/>
        </w:rPr>
        <w:t>日被逮捕。</w:t>
      </w:r>
    </w:p>
    <w:p w:rsidR="00047A50" w:rsidRDefault="00047A50">
      <w:pPr>
        <w:spacing w:line="500" w:lineRule="atLeast"/>
        <w:ind w:firstLine="600"/>
        <w:divId w:val="2021009455"/>
        <w:rPr>
          <w:rFonts w:hint="eastAsia"/>
          <w:sz w:val="30"/>
          <w:szCs w:val="30"/>
        </w:rPr>
      </w:pPr>
      <w:r>
        <w:rPr>
          <w:rFonts w:hint="eastAsia"/>
          <w:sz w:val="30"/>
          <w:szCs w:val="30"/>
        </w:rPr>
        <w:t>辩护人官斯文，广东雄军律师事务所律师。</w:t>
      </w:r>
    </w:p>
    <w:p w:rsidR="00047A50" w:rsidRDefault="00047A50">
      <w:pPr>
        <w:spacing w:line="500" w:lineRule="atLeast"/>
        <w:ind w:firstLine="600"/>
        <w:divId w:val="708728310"/>
        <w:rPr>
          <w:rFonts w:hint="eastAsia"/>
          <w:sz w:val="30"/>
          <w:szCs w:val="30"/>
        </w:rPr>
      </w:pPr>
      <w:r>
        <w:rPr>
          <w:rFonts w:hint="eastAsia"/>
          <w:sz w:val="30"/>
          <w:szCs w:val="30"/>
        </w:rPr>
        <w:t>江门市新会区人民检察院以新检公刑诉</w:t>
      </w:r>
      <w:r>
        <w:rPr>
          <w:rFonts w:hint="eastAsia"/>
          <w:sz w:val="30"/>
          <w:szCs w:val="30"/>
        </w:rPr>
        <w:t>[2016]598</w:t>
      </w:r>
      <w:r>
        <w:rPr>
          <w:rFonts w:hint="eastAsia"/>
          <w:sz w:val="30"/>
          <w:szCs w:val="30"/>
        </w:rPr>
        <w:t>号起诉书指控被告人骆某宏犯单位受贿罪，于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日向本院提起公诉。本院依照江门市中级人民法院的指定管辖决定受理，依法组成合议庭，于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日公开开庭审理了本案。江门市新会区人民检察院指派检察员甄蓝岚出庭支持公诉，被告人骆某宏及辩护人官斯文到庭参加诉讼。期间，经江门市新会区人民检察院建议，延期审理一次。现已审理终结。</w:t>
      </w:r>
    </w:p>
    <w:p w:rsidR="00047A50" w:rsidRDefault="00047A50">
      <w:pPr>
        <w:spacing w:line="500" w:lineRule="atLeast"/>
        <w:ind w:firstLine="600"/>
        <w:divId w:val="1928226060"/>
        <w:rPr>
          <w:rFonts w:hint="eastAsia"/>
          <w:sz w:val="30"/>
          <w:szCs w:val="30"/>
        </w:rPr>
      </w:pPr>
      <w:r>
        <w:rPr>
          <w:rFonts w:hint="eastAsia"/>
          <w:sz w:val="30"/>
          <w:szCs w:val="30"/>
        </w:rPr>
        <w:t>江门市新会区人民检察院指控台山市公安局治安管理大队于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在对广东省台山市民用爆破器材转卖公司、江门市新安民爆物品有限公司台山分公司储存民爆物品仓库的日常检查过程中放松监督，对上述二家公司购买、销售、运输民爆物品的申请给予方便，并采取由被告人骆某宏提供收据、虚开的发票套取费用的手段，非法收受上述二家公司给予的人民币共</w:t>
      </w:r>
      <w:r>
        <w:rPr>
          <w:rFonts w:hint="eastAsia"/>
          <w:sz w:val="30"/>
          <w:szCs w:val="30"/>
        </w:rPr>
        <w:t>1234662.41</w:t>
      </w:r>
      <w:r>
        <w:rPr>
          <w:rFonts w:hint="eastAsia"/>
          <w:sz w:val="30"/>
          <w:szCs w:val="30"/>
        </w:rPr>
        <w:t>元。</w:t>
      </w:r>
    </w:p>
    <w:p w:rsidR="00047A50" w:rsidRDefault="00047A50">
      <w:pPr>
        <w:spacing w:line="500" w:lineRule="atLeast"/>
        <w:ind w:firstLine="600"/>
        <w:divId w:val="395903164"/>
        <w:rPr>
          <w:rFonts w:hint="eastAsia"/>
          <w:sz w:val="30"/>
          <w:szCs w:val="30"/>
        </w:rPr>
      </w:pPr>
      <w:r>
        <w:rPr>
          <w:rFonts w:hint="eastAsia"/>
          <w:sz w:val="30"/>
          <w:szCs w:val="30"/>
        </w:rPr>
        <w:t>公诉机关就指控的上述事实，向法庭出示了证人证言、相关书证及被告人的供述等证据，认为被告人骆某宏的行为触犯了《中华人民共和国刑法》第三百八十七条第一款之规定，应当以单位受贿罪依法追究其刑事责任，提请本院依法惩处。</w:t>
      </w:r>
    </w:p>
    <w:p w:rsidR="00047A50" w:rsidRDefault="00047A50">
      <w:pPr>
        <w:spacing w:line="500" w:lineRule="atLeast"/>
        <w:ind w:firstLine="600"/>
        <w:divId w:val="753357368"/>
        <w:rPr>
          <w:rFonts w:hint="eastAsia"/>
          <w:sz w:val="30"/>
          <w:szCs w:val="30"/>
        </w:rPr>
      </w:pPr>
      <w:r>
        <w:rPr>
          <w:rFonts w:hint="eastAsia"/>
          <w:sz w:val="30"/>
          <w:szCs w:val="30"/>
        </w:rPr>
        <w:lastRenderedPageBreak/>
        <w:t>被告人骆某宏对上述指控无异议，自愿认罪，请求对其判处缓刑。其辩护人提出，被告人骆某宏是从犯，归案后如实供述自己和单位领导的罪行，确有悔罪表现，请求对其从轻处罚或免予刑事处罚。</w:t>
      </w:r>
    </w:p>
    <w:p w:rsidR="00047A50" w:rsidRDefault="00047A50">
      <w:pPr>
        <w:spacing w:line="500" w:lineRule="atLeast"/>
        <w:ind w:firstLine="600"/>
        <w:divId w:val="1253970346"/>
        <w:rPr>
          <w:rFonts w:hint="eastAsia"/>
          <w:sz w:val="30"/>
          <w:szCs w:val="30"/>
        </w:rPr>
      </w:pPr>
      <w:r>
        <w:rPr>
          <w:rFonts w:hint="eastAsia"/>
          <w:sz w:val="30"/>
          <w:szCs w:val="30"/>
        </w:rPr>
        <w:t>经审理查明，台山市公安局治安管理大队（以下简称台山治安大队）大队长张某业（另案处理）利用本单位对易燃易爆物品负有管理职权的便利，以单位名义，向广东省台山市民用爆破器材专卖公司（以下简称台山民爆公司）、江门市新安民爆物品有限公司台山分公司（以下简称新安民爆台山分公司）索取“好处费”，上述公司为了台山市治安大队能在办理购买、销售、运输民爆物品《销售许可证》和《运输许可证》时给予方便，并对储存民爆物品仓库存在不符合安全标准、消防器材过期、爆炸物品堆放不规范、监控设备不完善等情况放松监管，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月期间，由时任台山治安大队内勤的被告人骆某宏以提供收款收据或虚开发票套取费用等手段，非法收受上述公司（另案处理）给予的人民币</w:t>
      </w:r>
      <w:r>
        <w:rPr>
          <w:rFonts w:hint="eastAsia"/>
          <w:sz w:val="30"/>
          <w:szCs w:val="30"/>
        </w:rPr>
        <w:t>1234662.41</w:t>
      </w:r>
      <w:r>
        <w:rPr>
          <w:rFonts w:hint="eastAsia"/>
          <w:sz w:val="30"/>
          <w:szCs w:val="30"/>
        </w:rPr>
        <w:t>元。</w:t>
      </w:r>
    </w:p>
    <w:p w:rsidR="00047A50" w:rsidRDefault="00047A50">
      <w:pPr>
        <w:spacing w:line="500" w:lineRule="atLeast"/>
        <w:ind w:firstLine="600"/>
        <w:divId w:val="921183383"/>
        <w:rPr>
          <w:rFonts w:hint="eastAsia"/>
          <w:sz w:val="30"/>
          <w:szCs w:val="30"/>
        </w:rPr>
      </w:pPr>
      <w:r>
        <w:rPr>
          <w:rFonts w:hint="eastAsia"/>
          <w:sz w:val="30"/>
          <w:szCs w:val="30"/>
        </w:rPr>
        <w:t>上述事实，被告人骆某宏在庭审过程中亦无异议，且有台山市人民检察院出具的立案决定书、拘留决定书、逮捕决定书、传唤证、拘留证、逮捕证、查询犯罪嫌疑人金融财产通知书及情况说明等证据；台山市人民检察院反贪污贿赂工作局出具的破案报告等证据；台山市公安局提供的台山市人民政府办公室关于《印发台山市公安局主要职责内设机构和人员编制规定的通知》及骆某宏的常住人口信息资料等证据；台山治安大队出具的关于其与骆某宏的工作职责《证明》、台山市治安管理检查登记簿及备忘录等证据；台山市食品药品监督管理局提供的骆某宏《公务员登记表》、《台山市市直机关工作人员定岗定员审批表》及《国家公务员调任、转任呈批表》等证据；台山民爆公司及新安民爆台山分公司提供的转账凭证、银行支票存根、发票、费用报销审批表及广东省经济贸易委员会、广东省公安厅《关于民爆器材销售许可衔接工作的通知》、销售许可证、爆炸物品储存许可证等证据；台山市工商局提供的企业法人营业执照、企业申请变更登记注册书、台山市化工建材总公司聘任免的通知等证据；中国建设银行股份有限公司江门市分行出具的个人或其账户信息明细等证据；台山市台城镇蓝翔科技经营部、台山市智宏科技有限公司提供的营业执照复印件等</w:t>
      </w:r>
      <w:r>
        <w:rPr>
          <w:rFonts w:hint="eastAsia"/>
          <w:sz w:val="30"/>
          <w:szCs w:val="30"/>
        </w:rPr>
        <w:t>证据；证人陈某俊、赵某、徐某、朱某、郑某、何某、雷某、余某、陈某、伍某、周某等人的证言；被告人骆某宏的供述，上述证人及被告人骆某宏对涉案转账凭证、银行支票存根、发票等证据的辨认笔录等证据证实，足以认定。</w:t>
      </w:r>
    </w:p>
    <w:p w:rsidR="00047A50" w:rsidRDefault="00047A50">
      <w:pPr>
        <w:spacing w:line="500" w:lineRule="atLeast"/>
        <w:ind w:firstLine="600"/>
        <w:divId w:val="1243757454"/>
        <w:rPr>
          <w:rFonts w:hint="eastAsia"/>
          <w:sz w:val="30"/>
          <w:szCs w:val="30"/>
        </w:rPr>
      </w:pPr>
      <w:r>
        <w:rPr>
          <w:rFonts w:hint="eastAsia"/>
          <w:sz w:val="30"/>
          <w:szCs w:val="30"/>
        </w:rPr>
        <w:t>本院认为，被告人骆某宏所在单位非法收受他人财物，为他人谋取利益，情节严重，被告人骆某宏是单位犯罪中的其他直接责任人员，其行为已构成单位受贿罪。公诉机关指控的罪名成立。鉴于被告人骆某宏犯罪后能如实供述自己的罪行，庭审时自愿认罪，可从轻处罚。关于辩护人提出的被告人骆某宏是从犯的辩护意见。经查，公诉机关已充分考虑被告人骆某宏在本案中的地位和作用予以指控，指控其系是单位犯罪中的其他直接责任人员，又因其同案犯未一并起诉，且尚未归案，故本案不宜对其认定为从犯。上述辩护意见，理据不足，不予采纳；关于被告人骆某宏提出对其适用缓刑的请求及其辩护人提出对其免予刑事处罚的辩护意见。经查，被告人骆某宏单位受贿持续时间长、作案次数多、数额逾百万，故不适用缓刑，亦不属情节轻微，不符合免予刑事处罚的条件。故上述辩解和辩护意见，理由不成立，不予采纳；关于辩护人提出被告人骆某宏归案后如实供述自己和单位领导的罪行，确有悔罪表现，请求对其从轻处罚的辩护意见，理由成立，予以采纳。根据被告人骆某宏犯罪的事实、性质、情节和对于社会的危害程度，依照《中华人民共和国刑法》第三十条、第三十一条、第三百八十七条第一款、第六十七条第三款、第六十一条之规定，判决如</w:t>
      </w:r>
      <w:r>
        <w:rPr>
          <w:rFonts w:hint="eastAsia"/>
          <w:sz w:val="30"/>
          <w:szCs w:val="30"/>
        </w:rPr>
        <w:t>下：</w:t>
      </w:r>
    </w:p>
    <w:p w:rsidR="00047A50" w:rsidRDefault="00047A50">
      <w:pPr>
        <w:spacing w:line="500" w:lineRule="atLeast"/>
        <w:ind w:firstLine="600"/>
        <w:divId w:val="1638219992"/>
        <w:rPr>
          <w:rFonts w:hint="eastAsia"/>
          <w:sz w:val="30"/>
          <w:szCs w:val="30"/>
        </w:rPr>
      </w:pPr>
      <w:r>
        <w:rPr>
          <w:rFonts w:hint="eastAsia"/>
          <w:sz w:val="30"/>
          <w:szCs w:val="30"/>
        </w:rPr>
        <w:t>被告人骆某宏犯单位受贿罪，判处有期徒刑一年三个月。</w:t>
      </w:r>
    </w:p>
    <w:p w:rsidR="00047A50" w:rsidRDefault="00047A50">
      <w:pPr>
        <w:spacing w:line="500" w:lineRule="atLeast"/>
        <w:ind w:firstLine="600"/>
        <w:divId w:val="7244481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w:t>
      </w:r>
    </w:p>
    <w:p w:rsidR="00047A50" w:rsidRDefault="00047A50">
      <w:pPr>
        <w:spacing w:line="500" w:lineRule="atLeast"/>
        <w:ind w:firstLine="600"/>
        <w:divId w:val="121731786"/>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rsidR="00047A50" w:rsidRDefault="00047A50">
      <w:pPr>
        <w:spacing w:line="500" w:lineRule="atLeast"/>
        <w:jc w:val="right"/>
        <w:divId w:val="907421892"/>
        <w:rPr>
          <w:rFonts w:hint="eastAsia"/>
          <w:sz w:val="30"/>
          <w:szCs w:val="30"/>
        </w:rPr>
      </w:pPr>
      <w:r>
        <w:rPr>
          <w:rFonts w:hint="eastAsia"/>
          <w:sz w:val="30"/>
          <w:szCs w:val="30"/>
        </w:rPr>
        <w:t>审　判　长　　王潇凝</w:t>
      </w:r>
    </w:p>
    <w:p w:rsidR="00047A50" w:rsidRDefault="00047A50">
      <w:pPr>
        <w:spacing w:line="500" w:lineRule="atLeast"/>
        <w:jc w:val="right"/>
        <w:divId w:val="1992371753"/>
        <w:rPr>
          <w:rFonts w:hint="eastAsia"/>
          <w:sz w:val="30"/>
          <w:szCs w:val="30"/>
        </w:rPr>
      </w:pPr>
      <w:r>
        <w:rPr>
          <w:rFonts w:hint="eastAsia"/>
          <w:sz w:val="30"/>
          <w:szCs w:val="30"/>
        </w:rPr>
        <w:t>审　判　员　　林家荣</w:t>
      </w:r>
    </w:p>
    <w:p w:rsidR="00047A50" w:rsidRDefault="00047A50">
      <w:pPr>
        <w:spacing w:line="500" w:lineRule="atLeast"/>
        <w:jc w:val="right"/>
        <w:divId w:val="14038123"/>
        <w:rPr>
          <w:rFonts w:hint="eastAsia"/>
          <w:sz w:val="30"/>
          <w:szCs w:val="30"/>
        </w:rPr>
      </w:pPr>
      <w:r>
        <w:rPr>
          <w:rFonts w:hint="eastAsia"/>
          <w:sz w:val="30"/>
          <w:szCs w:val="30"/>
        </w:rPr>
        <w:t>代理审判员　　梁锦荣</w:t>
      </w:r>
    </w:p>
    <w:p w:rsidR="00047A50" w:rsidRDefault="00047A50">
      <w:pPr>
        <w:spacing w:line="500" w:lineRule="atLeast"/>
        <w:jc w:val="right"/>
        <w:divId w:val="1923100970"/>
        <w:rPr>
          <w:rFonts w:hint="eastAsia"/>
          <w:sz w:val="30"/>
          <w:szCs w:val="30"/>
        </w:rPr>
      </w:pPr>
      <w:r>
        <w:rPr>
          <w:rFonts w:hint="eastAsia"/>
          <w:sz w:val="30"/>
          <w:szCs w:val="30"/>
        </w:rPr>
        <w:t>二〇一七年四月十日</w:t>
      </w:r>
    </w:p>
    <w:p w:rsidR="00047A50" w:rsidRDefault="00047A50">
      <w:pPr>
        <w:spacing w:line="500" w:lineRule="atLeast"/>
        <w:jc w:val="right"/>
        <w:divId w:val="561718543"/>
        <w:rPr>
          <w:rFonts w:hint="eastAsia"/>
          <w:sz w:val="30"/>
          <w:szCs w:val="30"/>
        </w:rPr>
      </w:pPr>
      <w:r>
        <w:rPr>
          <w:rFonts w:hint="eastAsia"/>
          <w:sz w:val="30"/>
          <w:szCs w:val="30"/>
        </w:rPr>
        <w:t>书　记　员　　余碧璐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7A50" w:rsidRDefault="00047A50" w:rsidP="00047A50">
      <w:pPr>
        <w:rPr>
          <w:rFonts w:hint="eastAsia"/>
        </w:rPr>
      </w:pPr>
      <w:r>
        <w:separator/>
      </w:r>
    </w:p>
  </w:endnote>
  <w:endnote w:type="continuationSeparator" w:id="0">
    <w:p w:rsidR="00047A50" w:rsidRDefault="00047A50" w:rsidP="00047A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7A50" w:rsidRDefault="00047A50" w:rsidP="00047A50">
      <w:pPr>
        <w:rPr>
          <w:rFonts w:hint="eastAsia"/>
        </w:rPr>
      </w:pPr>
      <w:r>
        <w:separator/>
      </w:r>
    </w:p>
  </w:footnote>
  <w:footnote w:type="continuationSeparator" w:id="0">
    <w:p w:rsidR="00047A50" w:rsidRDefault="00047A50" w:rsidP="00047A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7A50"/>
    <w:rsid w:val="00047A50"/>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7A50"/>
    <w:pPr>
      <w:tabs>
        <w:tab w:val="center" w:pos="4153"/>
        <w:tab w:val="right" w:pos="8306"/>
      </w:tabs>
      <w:snapToGrid w:val="0"/>
      <w:jc w:val="center"/>
    </w:pPr>
    <w:rPr>
      <w:sz w:val="18"/>
      <w:szCs w:val="18"/>
    </w:rPr>
  </w:style>
  <w:style w:type="character" w:customStyle="1" w:styleId="a4">
    <w:name w:val="页眉 字符"/>
    <w:basedOn w:val="a0"/>
    <w:link w:val="a3"/>
    <w:uiPriority w:val="99"/>
    <w:rsid w:val="00047A50"/>
    <w:rPr>
      <w:rFonts w:ascii="宋体" w:eastAsia="宋体" w:hAnsi="宋体" w:cs="宋体"/>
      <w:sz w:val="18"/>
      <w:szCs w:val="18"/>
    </w:rPr>
  </w:style>
  <w:style w:type="paragraph" w:styleId="a5">
    <w:name w:val="footer"/>
    <w:basedOn w:val="a"/>
    <w:link w:val="a6"/>
    <w:uiPriority w:val="99"/>
    <w:unhideWhenUsed/>
    <w:rsid w:val="00047A50"/>
    <w:pPr>
      <w:tabs>
        <w:tab w:val="center" w:pos="4153"/>
        <w:tab w:val="right" w:pos="8306"/>
      </w:tabs>
      <w:snapToGrid w:val="0"/>
    </w:pPr>
    <w:rPr>
      <w:sz w:val="18"/>
      <w:szCs w:val="18"/>
    </w:rPr>
  </w:style>
  <w:style w:type="character" w:customStyle="1" w:styleId="a6">
    <w:name w:val="页脚 字符"/>
    <w:basedOn w:val="a0"/>
    <w:link w:val="a5"/>
    <w:uiPriority w:val="99"/>
    <w:rsid w:val="00047A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8123">
      <w:marLeft w:val="0"/>
      <w:marRight w:val="720"/>
      <w:marTop w:val="10"/>
      <w:marBottom w:val="10"/>
      <w:divBdr>
        <w:top w:val="none" w:sz="0" w:space="0" w:color="auto"/>
        <w:left w:val="none" w:sz="0" w:space="0" w:color="auto"/>
        <w:bottom w:val="none" w:sz="0" w:space="0" w:color="auto"/>
        <w:right w:val="none" w:sz="0" w:space="0" w:color="auto"/>
      </w:divBdr>
    </w:div>
    <w:div w:id="121731786">
      <w:marLeft w:val="0"/>
      <w:marRight w:val="0"/>
      <w:marTop w:val="10"/>
      <w:marBottom w:val="10"/>
      <w:divBdr>
        <w:top w:val="none" w:sz="0" w:space="0" w:color="auto"/>
        <w:left w:val="none" w:sz="0" w:space="0" w:color="auto"/>
        <w:bottom w:val="none" w:sz="0" w:space="0" w:color="auto"/>
        <w:right w:val="none" w:sz="0" w:space="0" w:color="auto"/>
      </w:divBdr>
    </w:div>
    <w:div w:id="395903164">
      <w:marLeft w:val="0"/>
      <w:marRight w:val="0"/>
      <w:marTop w:val="10"/>
      <w:marBottom w:val="10"/>
      <w:divBdr>
        <w:top w:val="none" w:sz="0" w:space="0" w:color="auto"/>
        <w:left w:val="none" w:sz="0" w:space="0" w:color="auto"/>
        <w:bottom w:val="none" w:sz="0" w:space="0" w:color="auto"/>
        <w:right w:val="none" w:sz="0" w:space="0" w:color="auto"/>
      </w:divBdr>
    </w:div>
    <w:div w:id="561718543">
      <w:marLeft w:val="0"/>
      <w:marRight w:val="720"/>
      <w:marTop w:val="10"/>
      <w:marBottom w:val="10"/>
      <w:divBdr>
        <w:top w:val="none" w:sz="0" w:space="0" w:color="auto"/>
        <w:left w:val="none" w:sz="0" w:space="0" w:color="auto"/>
        <w:bottom w:val="none" w:sz="0" w:space="0" w:color="auto"/>
        <w:right w:val="none" w:sz="0" w:space="0" w:color="auto"/>
      </w:divBdr>
    </w:div>
    <w:div w:id="708065336">
      <w:marLeft w:val="0"/>
      <w:marRight w:val="0"/>
      <w:marTop w:val="10"/>
      <w:marBottom w:val="10"/>
      <w:divBdr>
        <w:top w:val="none" w:sz="0" w:space="0" w:color="auto"/>
        <w:left w:val="none" w:sz="0" w:space="0" w:color="auto"/>
        <w:bottom w:val="none" w:sz="0" w:space="0" w:color="auto"/>
        <w:right w:val="none" w:sz="0" w:space="0" w:color="auto"/>
      </w:divBdr>
    </w:div>
    <w:div w:id="708728310">
      <w:marLeft w:val="0"/>
      <w:marRight w:val="0"/>
      <w:marTop w:val="10"/>
      <w:marBottom w:val="10"/>
      <w:divBdr>
        <w:top w:val="none" w:sz="0" w:space="0" w:color="auto"/>
        <w:left w:val="none" w:sz="0" w:space="0" w:color="auto"/>
        <w:bottom w:val="none" w:sz="0" w:space="0" w:color="auto"/>
        <w:right w:val="none" w:sz="0" w:space="0" w:color="auto"/>
      </w:divBdr>
    </w:div>
    <w:div w:id="720979422">
      <w:marLeft w:val="0"/>
      <w:marRight w:val="0"/>
      <w:marTop w:val="10"/>
      <w:marBottom w:val="10"/>
      <w:divBdr>
        <w:top w:val="none" w:sz="0" w:space="0" w:color="auto"/>
        <w:left w:val="none" w:sz="0" w:space="0" w:color="auto"/>
        <w:bottom w:val="none" w:sz="0" w:space="0" w:color="auto"/>
        <w:right w:val="none" w:sz="0" w:space="0" w:color="auto"/>
      </w:divBdr>
    </w:div>
    <w:div w:id="724448173">
      <w:marLeft w:val="0"/>
      <w:marRight w:val="0"/>
      <w:marTop w:val="10"/>
      <w:marBottom w:val="10"/>
      <w:divBdr>
        <w:top w:val="none" w:sz="0" w:space="0" w:color="auto"/>
        <w:left w:val="none" w:sz="0" w:space="0" w:color="auto"/>
        <w:bottom w:val="none" w:sz="0" w:space="0" w:color="auto"/>
        <w:right w:val="none" w:sz="0" w:space="0" w:color="auto"/>
      </w:divBdr>
    </w:div>
    <w:div w:id="753357368">
      <w:marLeft w:val="0"/>
      <w:marRight w:val="0"/>
      <w:marTop w:val="10"/>
      <w:marBottom w:val="10"/>
      <w:divBdr>
        <w:top w:val="none" w:sz="0" w:space="0" w:color="auto"/>
        <w:left w:val="none" w:sz="0" w:space="0" w:color="auto"/>
        <w:bottom w:val="none" w:sz="0" w:space="0" w:color="auto"/>
        <w:right w:val="none" w:sz="0" w:space="0" w:color="auto"/>
      </w:divBdr>
    </w:div>
    <w:div w:id="907421892">
      <w:marLeft w:val="0"/>
      <w:marRight w:val="720"/>
      <w:marTop w:val="10"/>
      <w:marBottom w:val="10"/>
      <w:divBdr>
        <w:top w:val="none" w:sz="0" w:space="0" w:color="auto"/>
        <w:left w:val="none" w:sz="0" w:space="0" w:color="auto"/>
        <w:bottom w:val="none" w:sz="0" w:space="0" w:color="auto"/>
        <w:right w:val="none" w:sz="0" w:space="0" w:color="auto"/>
      </w:divBdr>
    </w:div>
    <w:div w:id="921183383">
      <w:marLeft w:val="0"/>
      <w:marRight w:val="0"/>
      <w:marTop w:val="10"/>
      <w:marBottom w:val="10"/>
      <w:divBdr>
        <w:top w:val="none" w:sz="0" w:space="0" w:color="auto"/>
        <w:left w:val="none" w:sz="0" w:space="0" w:color="auto"/>
        <w:bottom w:val="none" w:sz="0" w:space="0" w:color="auto"/>
        <w:right w:val="none" w:sz="0" w:space="0" w:color="auto"/>
      </w:divBdr>
    </w:div>
    <w:div w:id="1050156740">
      <w:marLeft w:val="0"/>
      <w:marRight w:val="0"/>
      <w:marTop w:val="10"/>
      <w:marBottom w:val="10"/>
      <w:divBdr>
        <w:top w:val="none" w:sz="0" w:space="0" w:color="auto"/>
        <w:left w:val="none" w:sz="0" w:space="0" w:color="auto"/>
        <w:bottom w:val="none" w:sz="0" w:space="0" w:color="auto"/>
        <w:right w:val="none" w:sz="0" w:space="0" w:color="auto"/>
      </w:divBdr>
    </w:div>
    <w:div w:id="1243757454">
      <w:marLeft w:val="0"/>
      <w:marRight w:val="0"/>
      <w:marTop w:val="10"/>
      <w:marBottom w:val="10"/>
      <w:divBdr>
        <w:top w:val="none" w:sz="0" w:space="0" w:color="auto"/>
        <w:left w:val="none" w:sz="0" w:space="0" w:color="auto"/>
        <w:bottom w:val="none" w:sz="0" w:space="0" w:color="auto"/>
        <w:right w:val="none" w:sz="0" w:space="0" w:color="auto"/>
      </w:divBdr>
    </w:div>
    <w:div w:id="1253970346">
      <w:marLeft w:val="0"/>
      <w:marRight w:val="0"/>
      <w:marTop w:val="10"/>
      <w:marBottom w:val="10"/>
      <w:divBdr>
        <w:top w:val="none" w:sz="0" w:space="0" w:color="auto"/>
        <w:left w:val="none" w:sz="0" w:space="0" w:color="auto"/>
        <w:bottom w:val="none" w:sz="0" w:space="0" w:color="auto"/>
        <w:right w:val="none" w:sz="0" w:space="0" w:color="auto"/>
      </w:divBdr>
    </w:div>
    <w:div w:id="1291009417">
      <w:marLeft w:val="0"/>
      <w:marRight w:val="0"/>
      <w:marTop w:val="10"/>
      <w:marBottom w:val="10"/>
      <w:divBdr>
        <w:top w:val="none" w:sz="0" w:space="0" w:color="auto"/>
        <w:left w:val="none" w:sz="0" w:space="0" w:color="auto"/>
        <w:bottom w:val="none" w:sz="0" w:space="0" w:color="auto"/>
        <w:right w:val="none" w:sz="0" w:space="0" w:color="auto"/>
      </w:divBdr>
    </w:div>
    <w:div w:id="1638219992">
      <w:marLeft w:val="0"/>
      <w:marRight w:val="0"/>
      <w:marTop w:val="10"/>
      <w:marBottom w:val="10"/>
      <w:divBdr>
        <w:top w:val="none" w:sz="0" w:space="0" w:color="auto"/>
        <w:left w:val="none" w:sz="0" w:space="0" w:color="auto"/>
        <w:bottom w:val="none" w:sz="0" w:space="0" w:color="auto"/>
        <w:right w:val="none" w:sz="0" w:space="0" w:color="auto"/>
      </w:divBdr>
    </w:div>
    <w:div w:id="1699236850">
      <w:marLeft w:val="0"/>
      <w:marRight w:val="0"/>
      <w:marTop w:val="10"/>
      <w:marBottom w:val="10"/>
      <w:divBdr>
        <w:top w:val="none" w:sz="0" w:space="0" w:color="auto"/>
        <w:left w:val="none" w:sz="0" w:space="0" w:color="auto"/>
        <w:bottom w:val="none" w:sz="0" w:space="0" w:color="auto"/>
        <w:right w:val="none" w:sz="0" w:space="0" w:color="auto"/>
      </w:divBdr>
    </w:div>
    <w:div w:id="1923100970">
      <w:marLeft w:val="0"/>
      <w:marRight w:val="720"/>
      <w:marTop w:val="10"/>
      <w:marBottom w:val="10"/>
      <w:divBdr>
        <w:top w:val="none" w:sz="0" w:space="0" w:color="auto"/>
        <w:left w:val="none" w:sz="0" w:space="0" w:color="auto"/>
        <w:bottom w:val="none" w:sz="0" w:space="0" w:color="auto"/>
        <w:right w:val="none" w:sz="0" w:space="0" w:color="auto"/>
      </w:divBdr>
    </w:div>
    <w:div w:id="1928226060">
      <w:marLeft w:val="0"/>
      <w:marRight w:val="0"/>
      <w:marTop w:val="10"/>
      <w:marBottom w:val="10"/>
      <w:divBdr>
        <w:top w:val="none" w:sz="0" w:space="0" w:color="auto"/>
        <w:left w:val="none" w:sz="0" w:space="0" w:color="auto"/>
        <w:bottom w:val="none" w:sz="0" w:space="0" w:color="auto"/>
        <w:right w:val="none" w:sz="0" w:space="0" w:color="auto"/>
      </w:divBdr>
    </w:div>
    <w:div w:id="1992371753">
      <w:marLeft w:val="0"/>
      <w:marRight w:val="720"/>
      <w:marTop w:val="10"/>
      <w:marBottom w:val="10"/>
      <w:divBdr>
        <w:top w:val="none" w:sz="0" w:space="0" w:color="auto"/>
        <w:left w:val="none" w:sz="0" w:space="0" w:color="auto"/>
        <w:bottom w:val="none" w:sz="0" w:space="0" w:color="auto"/>
        <w:right w:val="none" w:sz="0" w:space="0" w:color="auto"/>
      </w:divBdr>
    </w:div>
    <w:div w:id="20210094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