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75D2" w:rsidRDefault="00B475D2">
      <w:pPr>
        <w:spacing w:line="500" w:lineRule="atLeast"/>
        <w:jc w:val="center"/>
        <w:divId w:val="1295672780"/>
        <w:rPr>
          <w:rFonts w:ascii="黑体" w:eastAsia="黑体" w:hAnsi="黑体"/>
          <w:sz w:val="36"/>
          <w:szCs w:val="36"/>
        </w:rPr>
      </w:pPr>
      <w:r>
        <w:rPr>
          <w:rFonts w:ascii="黑体" w:eastAsia="黑体" w:hAnsi="黑体" w:hint="eastAsia"/>
          <w:sz w:val="36"/>
          <w:szCs w:val="36"/>
        </w:rPr>
        <w:t>广东省鹤山市人民法院</w:t>
      </w:r>
    </w:p>
    <w:p w:rsidR="00B475D2" w:rsidRDefault="00B475D2">
      <w:pPr>
        <w:spacing w:line="500" w:lineRule="atLeast"/>
        <w:jc w:val="center"/>
        <w:divId w:val="20349878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475D2" w:rsidRDefault="00B475D2">
      <w:pPr>
        <w:spacing w:line="500" w:lineRule="atLeast"/>
        <w:jc w:val="right"/>
        <w:divId w:val="21774039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0784</w:t>
      </w:r>
      <w:r>
        <w:rPr>
          <w:rFonts w:hint="eastAsia"/>
          <w:sz w:val="30"/>
          <w:szCs w:val="30"/>
        </w:rPr>
        <w:t>刑初</w:t>
      </w:r>
      <w:r>
        <w:rPr>
          <w:rFonts w:hint="eastAsia"/>
          <w:sz w:val="30"/>
          <w:szCs w:val="30"/>
        </w:rPr>
        <w:t>16</w:t>
      </w:r>
      <w:r>
        <w:rPr>
          <w:rFonts w:hint="eastAsia"/>
          <w:sz w:val="30"/>
          <w:szCs w:val="30"/>
        </w:rPr>
        <w:t>号</w:t>
      </w:r>
    </w:p>
    <w:p w:rsidR="00B475D2" w:rsidRDefault="00B475D2">
      <w:pPr>
        <w:spacing w:line="500" w:lineRule="atLeast"/>
        <w:ind w:firstLine="600"/>
        <w:divId w:val="1070352341"/>
        <w:rPr>
          <w:rFonts w:hint="eastAsia"/>
          <w:sz w:val="30"/>
          <w:szCs w:val="30"/>
        </w:rPr>
      </w:pPr>
      <w:r>
        <w:rPr>
          <w:rFonts w:hint="eastAsia"/>
          <w:sz w:val="30"/>
          <w:szCs w:val="30"/>
        </w:rPr>
        <w:t>公诉机关广东省鹤山市人民检察院。</w:t>
      </w:r>
    </w:p>
    <w:p w:rsidR="00B475D2" w:rsidRDefault="00B475D2">
      <w:pPr>
        <w:spacing w:line="500" w:lineRule="atLeast"/>
        <w:ind w:firstLine="600"/>
        <w:divId w:val="1616717443"/>
        <w:rPr>
          <w:rFonts w:hint="eastAsia"/>
          <w:sz w:val="30"/>
          <w:szCs w:val="30"/>
        </w:rPr>
      </w:pPr>
      <w:r>
        <w:rPr>
          <w:rFonts w:hint="eastAsia"/>
          <w:sz w:val="30"/>
          <w:szCs w:val="30"/>
        </w:rPr>
        <w:t>被告人麦某甲，男，居民身份证号码×××</w:t>
      </w:r>
      <w:r>
        <w:rPr>
          <w:rFonts w:hint="eastAsia"/>
          <w:sz w:val="30"/>
          <w:szCs w:val="30"/>
        </w:rPr>
        <w:t>361X</w:t>
      </w:r>
      <w:r>
        <w:rPr>
          <w:rFonts w:hint="eastAsia"/>
          <w:sz w:val="30"/>
          <w:szCs w:val="30"/>
        </w:rPr>
        <w:t>，汉族，文化程度初中，中共党员，鹤山市××有限公司副经理，户籍所在地广东省鹤山市，住址鹤山市。因本案于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日被逮捕。现押于广东省鹤山市看守所。</w:t>
      </w:r>
    </w:p>
    <w:p w:rsidR="00B475D2" w:rsidRDefault="00B475D2">
      <w:pPr>
        <w:spacing w:line="500" w:lineRule="atLeast"/>
        <w:ind w:firstLine="600"/>
        <w:divId w:val="2051106527"/>
        <w:rPr>
          <w:rFonts w:hint="eastAsia"/>
          <w:sz w:val="30"/>
          <w:szCs w:val="30"/>
        </w:rPr>
      </w:pPr>
      <w:r>
        <w:rPr>
          <w:rFonts w:hint="eastAsia"/>
          <w:sz w:val="30"/>
          <w:szCs w:val="30"/>
        </w:rPr>
        <w:t>广东省鹤山市人民检察院以鹤检公诉刑诉（</w:t>
      </w:r>
      <w:r>
        <w:rPr>
          <w:rFonts w:hint="eastAsia"/>
          <w:sz w:val="30"/>
          <w:szCs w:val="30"/>
        </w:rPr>
        <w:t>2015</w:t>
      </w:r>
      <w:r>
        <w:rPr>
          <w:rFonts w:hint="eastAsia"/>
          <w:sz w:val="30"/>
          <w:szCs w:val="30"/>
        </w:rPr>
        <w:t>）</w:t>
      </w:r>
      <w:r>
        <w:rPr>
          <w:rFonts w:hint="eastAsia"/>
          <w:sz w:val="30"/>
          <w:szCs w:val="30"/>
        </w:rPr>
        <w:t>507</w:t>
      </w:r>
      <w:r>
        <w:rPr>
          <w:rFonts w:hint="eastAsia"/>
          <w:sz w:val="30"/>
          <w:szCs w:val="30"/>
        </w:rPr>
        <w:t>号起诉书指控被告人麦某甲犯贪污罪，于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日向本院提起公诉。本院依法组成合议庭，公开开庭审理了本案。广东省鹤山市人民检察院指派检察员冯德全出庭支持公诉，被告人麦某甲到庭参加了诉讼。本案经鹤山市人民检察院申请延期审理，并于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日恢复审理。本案经合议庭评议并经本院审判委员会讨论决定，现已审理终结。</w:t>
      </w:r>
    </w:p>
    <w:p w:rsidR="00B475D2" w:rsidRDefault="00B475D2">
      <w:pPr>
        <w:spacing w:line="500" w:lineRule="atLeast"/>
        <w:ind w:firstLine="600"/>
        <w:divId w:val="54860819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年初，时任鹤山市常青有限公司（以下简称常青公司，性质为国有公司）副经理的被告人麦某甲发现公司的汽车维修费过大，经向公司经理罗立根（另案处理）反映，罗立根明确告知其通过鹤山市宝安汽车修理部虚增汽车维修费来套取现金的情况，要求麦某甲协助在之后的汽车维修费单据上签名，并许诺会将套取的现金分发一部分给麦某甲使用。自</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年期间，罗立根多次以同样手段套取公司现金人民币（下同）合共</w:t>
      </w:r>
      <w:r>
        <w:rPr>
          <w:rFonts w:hint="eastAsia"/>
          <w:sz w:val="30"/>
          <w:szCs w:val="30"/>
        </w:rPr>
        <w:t>90000</w:t>
      </w:r>
      <w:r>
        <w:rPr>
          <w:rFonts w:hint="eastAsia"/>
          <w:sz w:val="30"/>
          <w:szCs w:val="30"/>
        </w:rPr>
        <w:t>元，并将其中</w:t>
      </w:r>
      <w:r>
        <w:rPr>
          <w:rFonts w:hint="eastAsia"/>
          <w:sz w:val="30"/>
          <w:szCs w:val="30"/>
        </w:rPr>
        <w:t>21000</w:t>
      </w:r>
      <w:r>
        <w:rPr>
          <w:rFonts w:hint="eastAsia"/>
          <w:sz w:val="30"/>
          <w:szCs w:val="30"/>
        </w:rPr>
        <w:t>元分三次交给被告人麦某甲，麦某甲将该款全部用于个人消费。</w:t>
      </w:r>
    </w:p>
    <w:p w:rsidR="00B475D2" w:rsidRDefault="00B475D2">
      <w:pPr>
        <w:spacing w:line="500" w:lineRule="atLeast"/>
        <w:ind w:firstLine="600"/>
        <w:divId w:val="6568415"/>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5</w:t>
      </w:r>
      <w:r>
        <w:rPr>
          <w:rFonts w:hint="eastAsia"/>
          <w:sz w:val="30"/>
          <w:szCs w:val="30"/>
        </w:rPr>
        <w:t>月初，被告人麦某甲在查阅常青公司墓地资料时，发现该公司墓园中有部分墓地尚未售出，遂与该公司管理人员汤某、出纳员李某甲共谋侵占公司墓地，用于日后变卖获利。三人采取伪造付款收据、墓园登记资料的方式，共同侵占了公司墓园中的福祥区一区</w:t>
      </w:r>
      <w:r>
        <w:rPr>
          <w:rFonts w:hint="eastAsia"/>
          <w:sz w:val="30"/>
          <w:szCs w:val="30"/>
        </w:rPr>
        <w:t>15</w:t>
      </w:r>
      <w:r>
        <w:rPr>
          <w:rFonts w:hint="eastAsia"/>
          <w:sz w:val="30"/>
          <w:szCs w:val="30"/>
        </w:rPr>
        <w:t>行</w:t>
      </w:r>
      <w:r>
        <w:rPr>
          <w:rFonts w:hint="eastAsia"/>
          <w:sz w:val="30"/>
          <w:szCs w:val="30"/>
        </w:rPr>
        <w:t>15</w:t>
      </w:r>
      <w:r>
        <w:rPr>
          <w:rFonts w:hint="eastAsia"/>
          <w:sz w:val="30"/>
          <w:szCs w:val="30"/>
        </w:rPr>
        <w:t>位、福祥区三区</w:t>
      </w:r>
      <w:r>
        <w:rPr>
          <w:rFonts w:hint="eastAsia"/>
          <w:sz w:val="30"/>
          <w:szCs w:val="30"/>
        </w:rPr>
        <w:t>26</w:t>
      </w:r>
      <w:r>
        <w:rPr>
          <w:rFonts w:hint="eastAsia"/>
          <w:sz w:val="30"/>
          <w:szCs w:val="30"/>
        </w:rPr>
        <w:t>行</w:t>
      </w:r>
      <w:r>
        <w:rPr>
          <w:rFonts w:hint="eastAsia"/>
          <w:sz w:val="30"/>
          <w:szCs w:val="30"/>
        </w:rPr>
        <w:t>59</w:t>
      </w:r>
      <w:r>
        <w:rPr>
          <w:rFonts w:hint="eastAsia"/>
          <w:sz w:val="30"/>
          <w:szCs w:val="30"/>
        </w:rPr>
        <w:t>位、</w:t>
      </w:r>
      <w:r>
        <w:rPr>
          <w:rFonts w:hint="eastAsia"/>
          <w:sz w:val="30"/>
          <w:szCs w:val="30"/>
        </w:rPr>
        <w:t>60</w:t>
      </w:r>
      <w:r>
        <w:rPr>
          <w:rFonts w:hint="eastAsia"/>
          <w:sz w:val="30"/>
          <w:szCs w:val="30"/>
        </w:rPr>
        <w:t>位以及福祥区三区</w:t>
      </w:r>
      <w:r>
        <w:rPr>
          <w:rFonts w:hint="eastAsia"/>
          <w:sz w:val="30"/>
          <w:szCs w:val="30"/>
        </w:rPr>
        <w:t>21</w:t>
      </w:r>
      <w:r>
        <w:rPr>
          <w:rFonts w:hint="eastAsia"/>
          <w:sz w:val="30"/>
          <w:szCs w:val="30"/>
        </w:rPr>
        <w:t>行</w:t>
      </w:r>
      <w:r>
        <w:rPr>
          <w:rFonts w:hint="eastAsia"/>
          <w:sz w:val="30"/>
          <w:szCs w:val="30"/>
        </w:rPr>
        <w:t>44</w:t>
      </w:r>
      <w:r>
        <w:rPr>
          <w:rFonts w:hint="eastAsia"/>
          <w:sz w:val="30"/>
          <w:szCs w:val="30"/>
        </w:rPr>
        <w:t>位、</w:t>
      </w:r>
      <w:r>
        <w:rPr>
          <w:rFonts w:hint="eastAsia"/>
          <w:sz w:val="30"/>
          <w:szCs w:val="30"/>
        </w:rPr>
        <w:t>45</w:t>
      </w:r>
      <w:r>
        <w:rPr>
          <w:rFonts w:hint="eastAsia"/>
          <w:sz w:val="30"/>
          <w:szCs w:val="30"/>
        </w:rPr>
        <w:t>位合共五块墓地（合计价值</w:t>
      </w:r>
      <w:r>
        <w:rPr>
          <w:rFonts w:hint="eastAsia"/>
          <w:sz w:val="30"/>
          <w:szCs w:val="30"/>
        </w:rPr>
        <w:t>112700</w:t>
      </w:r>
      <w:r>
        <w:rPr>
          <w:rFonts w:hint="eastAsia"/>
          <w:sz w:val="30"/>
          <w:szCs w:val="30"/>
        </w:rPr>
        <w:t>元），其中麦某甲个人分占福祥区一区</w:t>
      </w:r>
      <w:r>
        <w:rPr>
          <w:rFonts w:hint="eastAsia"/>
          <w:sz w:val="30"/>
          <w:szCs w:val="30"/>
        </w:rPr>
        <w:t>15</w:t>
      </w:r>
      <w:r>
        <w:rPr>
          <w:rFonts w:hint="eastAsia"/>
          <w:sz w:val="30"/>
          <w:szCs w:val="30"/>
        </w:rPr>
        <w:t>行</w:t>
      </w:r>
      <w:r>
        <w:rPr>
          <w:rFonts w:hint="eastAsia"/>
          <w:sz w:val="30"/>
          <w:szCs w:val="30"/>
        </w:rPr>
        <w:t>15</w:t>
      </w:r>
      <w:r>
        <w:rPr>
          <w:rFonts w:hint="eastAsia"/>
          <w:sz w:val="30"/>
          <w:szCs w:val="30"/>
        </w:rPr>
        <w:t>位的墓地（价值</w:t>
      </w:r>
      <w:r>
        <w:rPr>
          <w:rFonts w:hint="eastAsia"/>
          <w:sz w:val="30"/>
          <w:szCs w:val="30"/>
        </w:rPr>
        <w:t>29300</w:t>
      </w:r>
      <w:r>
        <w:rPr>
          <w:rFonts w:hint="eastAsia"/>
          <w:sz w:val="30"/>
          <w:szCs w:val="30"/>
        </w:rPr>
        <w:t>元，案发后已退回）。</w:t>
      </w:r>
    </w:p>
    <w:p w:rsidR="00B475D2" w:rsidRDefault="00B475D2">
      <w:pPr>
        <w:spacing w:line="500" w:lineRule="atLeast"/>
        <w:ind w:firstLine="600"/>
        <w:divId w:val="113679409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日，中共鹤山市纪律检查委员会将被告人麦某甲涉嫌职务犯罪的线索移送鹤山市人民检察院。该院于当日将被告人麦某甲带回进行调查。其后，被告人麦某甲家属代其退回赃款</w:t>
      </w:r>
      <w:r>
        <w:rPr>
          <w:rFonts w:hint="eastAsia"/>
          <w:sz w:val="30"/>
          <w:szCs w:val="30"/>
        </w:rPr>
        <w:t>21000</w:t>
      </w:r>
      <w:r>
        <w:rPr>
          <w:rFonts w:hint="eastAsia"/>
          <w:sz w:val="30"/>
          <w:szCs w:val="30"/>
        </w:rPr>
        <w:t>元。</w:t>
      </w:r>
    </w:p>
    <w:p w:rsidR="00B475D2" w:rsidRDefault="00B475D2">
      <w:pPr>
        <w:spacing w:line="500" w:lineRule="atLeast"/>
        <w:ind w:firstLine="600"/>
        <w:divId w:val="1930696494"/>
        <w:rPr>
          <w:rFonts w:hint="eastAsia"/>
          <w:sz w:val="30"/>
          <w:szCs w:val="30"/>
        </w:rPr>
      </w:pPr>
      <w:r>
        <w:rPr>
          <w:rFonts w:hint="eastAsia"/>
          <w:sz w:val="30"/>
          <w:szCs w:val="30"/>
        </w:rPr>
        <w:t>以上事实，被告人麦某甲在开庭审理过程中亦没有异议，并有经庭审举证、质证的到案经过，被告人麦某甲的供述，同案人罗立根的供述，证人汤某、李某甲、李某乙、唐某、麦某乙等人的证言，鉴定意见，相关书证材料等证据在案证实，足以认定。</w:t>
      </w:r>
    </w:p>
    <w:p w:rsidR="00B475D2" w:rsidRDefault="00B475D2">
      <w:pPr>
        <w:spacing w:line="500" w:lineRule="atLeast"/>
        <w:ind w:firstLine="600"/>
        <w:divId w:val="1622415793"/>
        <w:rPr>
          <w:rFonts w:hint="eastAsia"/>
          <w:sz w:val="30"/>
          <w:szCs w:val="30"/>
        </w:rPr>
      </w:pPr>
      <w:r>
        <w:rPr>
          <w:rFonts w:hint="eastAsia"/>
          <w:sz w:val="30"/>
          <w:szCs w:val="30"/>
        </w:rPr>
        <w:t>本院认为，被告人麦某甲身为受国有公司委托管理、经营国有财产的人员，利用职务上的便利，伙同他人共同侵吞国有财物，数额较大，其行为已构成贪污罪。被告人麦某甲到案后如实供述自己的罪行，可以从轻处罚；其积极退赃，认罪态度好，可以酌情从轻处罚。公诉机关指控被告人的犯罪事实清楚，证据确实、充分，适用法律正确，指控被告人的罪名成立，本院予以支持。根据被告人麦某甲的犯罪事实、情节、认罪态度及悔罪表现，依照《中华人民共和国刑法》第三百八十二条第二款、第五十二条、第五十三条、第六十四条、第六十七条第三款的规定，判决如下：</w:t>
      </w:r>
    </w:p>
    <w:p w:rsidR="00B475D2" w:rsidRDefault="00B475D2">
      <w:pPr>
        <w:spacing w:line="500" w:lineRule="atLeast"/>
        <w:ind w:firstLine="600"/>
        <w:divId w:val="1039284740"/>
        <w:rPr>
          <w:rFonts w:hint="eastAsia"/>
          <w:sz w:val="30"/>
          <w:szCs w:val="30"/>
        </w:rPr>
      </w:pPr>
      <w:r>
        <w:rPr>
          <w:rFonts w:hint="eastAsia"/>
          <w:sz w:val="30"/>
          <w:szCs w:val="30"/>
        </w:rPr>
        <w:t>一、被告人麦某甲犯贪污罪，判处有期徒刑一年三个月，并处罚金人民币</w:t>
      </w:r>
      <w:r>
        <w:rPr>
          <w:rFonts w:hint="eastAsia"/>
          <w:sz w:val="30"/>
          <w:szCs w:val="30"/>
        </w:rPr>
        <w:t>100000</w:t>
      </w:r>
      <w:r>
        <w:rPr>
          <w:rFonts w:hint="eastAsia"/>
          <w:sz w:val="30"/>
          <w:szCs w:val="30"/>
        </w:rPr>
        <w:t>元。</w:t>
      </w:r>
    </w:p>
    <w:p w:rsidR="00B475D2" w:rsidRDefault="00B475D2">
      <w:pPr>
        <w:spacing w:line="500" w:lineRule="atLeast"/>
        <w:ind w:firstLine="600"/>
        <w:divId w:val="1360543933"/>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日止；罚金于本判决书发生法律效力之日起十日内向本院缴纳。）</w:t>
      </w:r>
    </w:p>
    <w:p w:rsidR="00B475D2" w:rsidRDefault="00B475D2">
      <w:pPr>
        <w:spacing w:line="500" w:lineRule="atLeast"/>
        <w:ind w:firstLine="600"/>
        <w:divId w:val="767697152"/>
        <w:rPr>
          <w:rFonts w:hint="eastAsia"/>
          <w:sz w:val="30"/>
          <w:szCs w:val="30"/>
        </w:rPr>
      </w:pPr>
      <w:r>
        <w:rPr>
          <w:rFonts w:hint="eastAsia"/>
          <w:sz w:val="30"/>
          <w:szCs w:val="30"/>
        </w:rPr>
        <w:t>二、被告人麦某甲退回的赃款人民币</w:t>
      </w:r>
      <w:r>
        <w:rPr>
          <w:rFonts w:hint="eastAsia"/>
          <w:sz w:val="30"/>
          <w:szCs w:val="30"/>
        </w:rPr>
        <w:t>21000</w:t>
      </w:r>
      <w:r>
        <w:rPr>
          <w:rFonts w:hint="eastAsia"/>
          <w:sz w:val="30"/>
          <w:szCs w:val="30"/>
        </w:rPr>
        <w:t>元发还给鹤山市常青有限公司。</w:t>
      </w:r>
    </w:p>
    <w:p w:rsidR="00B475D2" w:rsidRDefault="00B475D2">
      <w:pPr>
        <w:spacing w:line="500" w:lineRule="atLeast"/>
        <w:ind w:firstLine="600"/>
        <w:divId w:val="55906183"/>
        <w:rPr>
          <w:rFonts w:hint="eastAsia"/>
          <w:sz w:val="30"/>
          <w:szCs w:val="30"/>
        </w:rPr>
      </w:pPr>
      <w:r>
        <w:rPr>
          <w:rFonts w:hint="eastAsia"/>
          <w:sz w:val="30"/>
          <w:szCs w:val="30"/>
        </w:rPr>
        <w:t>（该款项暂扣于鹤山市人民检察院，由该院发还给受害单位。）</w:t>
      </w:r>
    </w:p>
    <w:p w:rsidR="00B475D2" w:rsidRDefault="00B475D2">
      <w:pPr>
        <w:spacing w:line="500" w:lineRule="atLeast"/>
        <w:ind w:firstLine="600"/>
        <w:divId w:val="792208503"/>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rsidR="00B475D2" w:rsidRDefault="00B475D2">
      <w:pPr>
        <w:spacing w:line="500" w:lineRule="atLeast"/>
        <w:jc w:val="right"/>
        <w:divId w:val="99380889"/>
        <w:rPr>
          <w:rFonts w:hint="eastAsia"/>
          <w:sz w:val="30"/>
          <w:szCs w:val="30"/>
        </w:rPr>
      </w:pPr>
      <w:r>
        <w:rPr>
          <w:rFonts w:hint="eastAsia"/>
          <w:sz w:val="30"/>
          <w:szCs w:val="30"/>
        </w:rPr>
        <w:t>审　判　长　　冯权胜</w:t>
      </w:r>
    </w:p>
    <w:p w:rsidR="00B475D2" w:rsidRDefault="00B475D2">
      <w:pPr>
        <w:spacing w:line="500" w:lineRule="atLeast"/>
        <w:jc w:val="right"/>
        <w:divId w:val="1901210"/>
        <w:rPr>
          <w:rFonts w:hint="eastAsia"/>
          <w:sz w:val="30"/>
          <w:szCs w:val="30"/>
        </w:rPr>
      </w:pPr>
      <w:r>
        <w:rPr>
          <w:rFonts w:hint="eastAsia"/>
          <w:sz w:val="30"/>
          <w:szCs w:val="30"/>
        </w:rPr>
        <w:t>人民陪审员　　谭嘉伟</w:t>
      </w:r>
    </w:p>
    <w:p w:rsidR="00B475D2" w:rsidRDefault="00B475D2">
      <w:pPr>
        <w:spacing w:line="500" w:lineRule="atLeast"/>
        <w:jc w:val="right"/>
        <w:divId w:val="1462530571"/>
        <w:rPr>
          <w:rFonts w:hint="eastAsia"/>
          <w:sz w:val="30"/>
          <w:szCs w:val="30"/>
        </w:rPr>
      </w:pPr>
      <w:r>
        <w:rPr>
          <w:rFonts w:hint="eastAsia"/>
          <w:sz w:val="30"/>
          <w:szCs w:val="30"/>
        </w:rPr>
        <w:t>人民陪审员　　胡换花</w:t>
      </w:r>
    </w:p>
    <w:p w:rsidR="00B475D2" w:rsidRDefault="00B475D2">
      <w:pPr>
        <w:spacing w:line="500" w:lineRule="atLeast"/>
        <w:jc w:val="right"/>
        <w:divId w:val="1134444393"/>
        <w:rPr>
          <w:rFonts w:hint="eastAsia"/>
          <w:sz w:val="30"/>
          <w:szCs w:val="30"/>
        </w:rPr>
      </w:pPr>
      <w:r>
        <w:rPr>
          <w:rFonts w:hint="eastAsia"/>
          <w:sz w:val="30"/>
          <w:szCs w:val="30"/>
        </w:rPr>
        <w:t>二〇一六年六月三十日</w:t>
      </w:r>
    </w:p>
    <w:p w:rsidR="00B475D2" w:rsidRDefault="00B475D2">
      <w:pPr>
        <w:spacing w:line="500" w:lineRule="atLeast"/>
        <w:jc w:val="right"/>
        <w:divId w:val="1082262952"/>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75D2" w:rsidRDefault="00B475D2" w:rsidP="00B475D2">
      <w:pPr>
        <w:rPr>
          <w:rFonts w:hint="eastAsia"/>
        </w:rPr>
      </w:pPr>
      <w:r>
        <w:separator/>
      </w:r>
    </w:p>
  </w:endnote>
  <w:endnote w:type="continuationSeparator" w:id="0">
    <w:p w:rsidR="00B475D2" w:rsidRDefault="00B475D2" w:rsidP="00B475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75D2" w:rsidRDefault="00B475D2" w:rsidP="00B475D2">
      <w:pPr>
        <w:rPr>
          <w:rFonts w:hint="eastAsia"/>
        </w:rPr>
      </w:pPr>
      <w:r>
        <w:separator/>
      </w:r>
    </w:p>
  </w:footnote>
  <w:footnote w:type="continuationSeparator" w:id="0">
    <w:p w:rsidR="00B475D2" w:rsidRDefault="00B475D2" w:rsidP="00B475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75D2"/>
    <w:rsid w:val="002A6721"/>
    <w:rsid w:val="00B47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75D2"/>
    <w:pPr>
      <w:tabs>
        <w:tab w:val="center" w:pos="4153"/>
        <w:tab w:val="right" w:pos="8306"/>
      </w:tabs>
      <w:snapToGrid w:val="0"/>
      <w:jc w:val="center"/>
    </w:pPr>
    <w:rPr>
      <w:sz w:val="18"/>
      <w:szCs w:val="18"/>
    </w:rPr>
  </w:style>
  <w:style w:type="character" w:customStyle="1" w:styleId="a4">
    <w:name w:val="页眉 字符"/>
    <w:basedOn w:val="a0"/>
    <w:link w:val="a3"/>
    <w:uiPriority w:val="99"/>
    <w:rsid w:val="00B475D2"/>
    <w:rPr>
      <w:rFonts w:ascii="宋体" w:eastAsia="宋体" w:hAnsi="宋体" w:cs="宋体"/>
      <w:sz w:val="18"/>
      <w:szCs w:val="18"/>
    </w:rPr>
  </w:style>
  <w:style w:type="paragraph" w:styleId="a5">
    <w:name w:val="footer"/>
    <w:basedOn w:val="a"/>
    <w:link w:val="a6"/>
    <w:uiPriority w:val="99"/>
    <w:unhideWhenUsed/>
    <w:rsid w:val="00B475D2"/>
    <w:pPr>
      <w:tabs>
        <w:tab w:val="center" w:pos="4153"/>
        <w:tab w:val="right" w:pos="8306"/>
      </w:tabs>
      <w:snapToGrid w:val="0"/>
    </w:pPr>
    <w:rPr>
      <w:sz w:val="18"/>
      <w:szCs w:val="18"/>
    </w:rPr>
  </w:style>
  <w:style w:type="character" w:customStyle="1" w:styleId="a6">
    <w:name w:val="页脚 字符"/>
    <w:basedOn w:val="a0"/>
    <w:link w:val="a5"/>
    <w:uiPriority w:val="99"/>
    <w:rsid w:val="00B475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210">
      <w:marLeft w:val="0"/>
      <w:marRight w:val="720"/>
      <w:marTop w:val="10"/>
      <w:marBottom w:val="10"/>
      <w:divBdr>
        <w:top w:val="none" w:sz="0" w:space="0" w:color="auto"/>
        <w:left w:val="none" w:sz="0" w:space="0" w:color="auto"/>
        <w:bottom w:val="none" w:sz="0" w:space="0" w:color="auto"/>
        <w:right w:val="none" w:sz="0" w:space="0" w:color="auto"/>
      </w:divBdr>
    </w:div>
    <w:div w:id="6568415">
      <w:marLeft w:val="0"/>
      <w:marRight w:val="0"/>
      <w:marTop w:val="10"/>
      <w:marBottom w:val="10"/>
      <w:divBdr>
        <w:top w:val="none" w:sz="0" w:space="0" w:color="auto"/>
        <w:left w:val="none" w:sz="0" w:space="0" w:color="auto"/>
        <w:bottom w:val="none" w:sz="0" w:space="0" w:color="auto"/>
        <w:right w:val="none" w:sz="0" w:space="0" w:color="auto"/>
      </w:divBdr>
    </w:div>
    <w:div w:id="55906183">
      <w:marLeft w:val="0"/>
      <w:marRight w:val="0"/>
      <w:marTop w:val="10"/>
      <w:marBottom w:val="10"/>
      <w:divBdr>
        <w:top w:val="none" w:sz="0" w:space="0" w:color="auto"/>
        <w:left w:val="none" w:sz="0" w:space="0" w:color="auto"/>
        <w:bottom w:val="none" w:sz="0" w:space="0" w:color="auto"/>
        <w:right w:val="none" w:sz="0" w:space="0" w:color="auto"/>
      </w:divBdr>
    </w:div>
    <w:div w:id="99380889">
      <w:marLeft w:val="0"/>
      <w:marRight w:val="720"/>
      <w:marTop w:val="10"/>
      <w:marBottom w:val="10"/>
      <w:divBdr>
        <w:top w:val="none" w:sz="0" w:space="0" w:color="auto"/>
        <w:left w:val="none" w:sz="0" w:space="0" w:color="auto"/>
        <w:bottom w:val="none" w:sz="0" w:space="0" w:color="auto"/>
        <w:right w:val="none" w:sz="0" w:space="0" w:color="auto"/>
      </w:divBdr>
    </w:div>
    <w:div w:id="217740398">
      <w:marLeft w:val="0"/>
      <w:marRight w:val="0"/>
      <w:marTop w:val="10"/>
      <w:marBottom w:val="10"/>
      <w:divBdr>
        <w:top w:val="none" w:sz="0" w:space="0" w:color="auto"/>
        <w:left w:val="none" w:sz="0" w:space="0" w:color="auto"/>
        <w:bottom w:val="none" w:sz="0" w:space="0" w:color="auto"/>
        <w:right w:val="none" w:sz="0" w:space="0" w:color="auto"/>
      </w:divBdr>
    </w:div>
    <w:div w:id="548608198">
      <w:marLeft w:val="0"/>
      <w:marRight w:val="0"/>
      <w:marTop w:val="10"/>
      <w:marBottom w:val="10"/>
      <w:divBdr>
        <w:top w:val="none" w:sz="0" w:space="0" w:color="auto"/>
        <w:left w:val="none" w:sz="0" w:space="0" w:color="auto"/>
        <w:bottom w:val="none" w:sz="0" w:space="0" w:color="auto"/>
        <w:right w:val="none" w:sz="0" w:space="0" w:color="auto"/>
      </w:divBdr>
    </w:div>
    <w:div w:id="767697152">
      <w:marLeft w:val="0"/>
      <w:marRight w:val="0"/>
      <w:marTop w:val="10"/>
      <w:marBottom w:val="10"/>
      <w:divBdr>
        <w:top w:val="none" w:sz="0" w:space="0" w:color="auto"/>
        <w:left w:val="none" w:sz="0" w:space="0" w:color="auto"/>
        <w:bottom w:val="none" w:sz="0" w:space="0" w:color="auto"/>
        <w:right w:val="none" w:sz="0" w:space="0" w:color="auto"/>
      </w:divBdr>
    </w:div>
    <w:div w:id="792208503">
      <w:marLeft w:val="0"/>
      <w:marRight w:val="0"/>
      <w:marTop w:val="10"/>
      <w:marBottom w:val="10"/>
      <w:divBdr>
        <w:top w:val="none" w:sz="0" w:space="0" w:color="auto"/>
        <w:left w:val="none" w:sz="0" w:space="0" w:color="auto"/>
        <w:bottom w:val="none" w:sz="0" w:space="0" w:color="auto"/>
        <w:right w:val="none" w:sz="0" w:space="0" w:color="auto"/>
      </w:divBdr>
    </w:div>
    <w:div w:id="1039284740">
      <w:marLeft w:val="0"/>
      <w:marRight w:val="0"/>
      <w:marTop w:val="10"/>
      <w:marBottom w:val="10"/>
      <w:divBdr>
        <w:top w:val="none" w:sz="0" w:space="0" w:color="auto"/>
        <w:left w:val="none" w:sz="0" w:space="0" w:color="auto"/>
        <w:bottom w:val="none" w:sz="0" w:space="0" w:color="auto"/>
        <w:right w:val="none" w:sz="0" w:space="0" w:color="auto"/>
      </w:divBdr>
    </w:div>
    <w:div w:id="1070352341">
      <w:marLeft w:val="0"/>
      <w:marRight w:val="0"/>
      <w:marTop w:val="10"/>
      <w:marBottom w:val="10"/>
      <w:divBdr>
        <w:top w:val="none" w:sz="0" w:space="0" w:color="auto"/>
        <w:left w:val="none" w:sz="0" w:space="0" w:color="auto"/>
        <w:bottom w:val="none" w:sz="0" w:space="0" w:color="auto"/>
        <w:right w:val="none" w:sz="0" w:space="0" w:color="auto"/>
      </w:divBdr>
    </w:div>
    <w:div w:id="1082262952">
      <w:marLeft w:val="0"/>
      <w:marRight w:val="720"/>
      <w:marTop w:val="10"/>
      <w:marBottom w:val="10"/>
      <w:divBdr>
        <w:top w:val="none" w:sz="0" w:space="0" w:color="auto"/>
        <w:left w:val="none" w:sz="0" w:space="0" w:color="auto"/>
        <w:bottom w:val="none" w:sz="0" w:space="0" w:color="auto"/>
        <w:right w:val="none" w:sz="0" w:space="0" w:color="auto"/>
      </w:divBdr>
    </w:div>
    <w:div w:id="1134444393">
      <w:marLeft w:val="0"/>
      <w:marRight w:val="720"/>
      <w:marTop w:val="10"/>
      <w:marBottom w:val="10"/>
      <w:divBdr>
        <w:top w:val="none" w:sz="0" w:space="0" w:color="auto"/>
        <w:left w:val="none" w:sz="0" w:space="0" w:color="auto"/>
        <w:bottom w:val="none" w:sz="0" w:space="0" w:color="auto"/>
        <w:right w:val="none" w:sz="0" w:space="0" w:color="auto"/>
      </w:divBdr>
    </w:div>
    <w:div w:id="1136794095">
      <w:marLeft w:val="0"/>
      <w:marRight w:val="0"/>
      <w:marTop w:val="10"/>
      <w:marBottom w:val="10"/>
      <w:divBdr>
        <w:top w:val="none" w:sz="0" w:space="0" w:color="auto"/>
        <w:left w:val="none" w:sz="0" w:space="0" w:color="auto"/>
        <w:bottom w:val="none" w:sz="0" w:space="0" w:color="auto"/>
        <w:right w:val="none" w:sz="0" w:space="0" w:color="auto"/>
      </w:divBdr>
    </w:div>
    <w:div w:id="1295672780">
      <w:marLeft w:val="0"/>
      <w:marRight w:val="0"/>
      <w:marTop w:val="10"/>
      <w:marBottom w:val="10"/>
      <w:divBdr>
        <w:top w:val="none" w:sz="0" w:space="0" w:color="auto"/>
        <w:left w:val="none" w:sz="0" w:space="0" w:color="auto"/>
        <w:bottom w:val="none" w:sz="0" w:space="0" w:color="auto"/>
        <w:right w:val="none" w:sz="0" w:space="0" w:color="auto"/>
      </w:divBdr>
    </w:div>
    <w:div w:id="1360543933">
      <w:marLeft w:val="0"/>
      <w:marRight w:val="0"/>
      <w:marTop w:val="10"/>
      <w:marBottom w:val="10"/>
      <w:divBdr>
        <w:top w:val="none" w:sz="0" w:space="0" w:color="auto"/>
        <w:left w:val="none" w:sz="0" w:space="0" w:color="auto"/>
        <w:bottom w:val="none" w:sz="0" w:space="0" w:color="auto"/>
        <w:right w:val="none" w:sz="0" w:space="0" w:color="auto"/>
      </w:divBdr>
    </w:div>
    <w:div w:id="1462530571">
      <w:marLeft w:val="0"/>
      <w:marRight w:val="720"/>
      <w:marTop w:val="10"/>
      <w:marBottom w:val="10"/>
      <w:divBdr>
        <w:top w:val="none" w:sz="0" w:space="0" w:color="auto"/>
        <w:left w:val="none" w:sz="0" w:space="0" w:color="auto"/>
        <w:bottom w:val="none" w:sz="0" w:space="0" w:color="auto"/>
        <w:right w:val="none" w:sz="0" w:space="0" w:color="auto"/>
      </w:divBdr>
    </w:div>
    <w:div w:id="1616717443">
      <w:marLeft w:val="0"/>
      <w:marRight w:val="0"/>
      <w:marTop w:val="10"/>
      <w:marBottom w:val="10"/>
      <w:divBdr>
        <w:top w:val="none" w:sz="0" w:space="0" w:color="auto"/>
        <w:left w:val="none" w:sz="0" w:space="0" w:color="auto"/>
        <w:bottom w:val="none" w:sz="0" w:space="0" w:color="auto"/>
        <w:right w:val="none" w:sz="0" w:space="0" w:color="auto"/>
      </w:divBdr>
    </w:div>
    <w:div w:id="1622415793">
      <w:marLeft w:val="0"/>
      <w:marRight w:val="0"/>
      <w:marTop w:val="10"/>
      <w:marBottom w:val="10"/>
      <w:divBdr>
        <w:top w:val="none" w:sz="0" w:space="0" w:color="auto"/>
        <w:left w:val="none" w:sz="0" w:space="0" w:color="auto"/>
        <w:bottom w:val="none" w:sz="0" w:space="0" w:color="auto"/>
        <w:right w:val="none" w:sz="0" w:space="0" w:color="auto"/>
      </w:divBdr>
    </w:div>
    <w:div w:id="1930696494">
      <w:marLeft w:val="0"/>
      <w:marRight w:val="0"/>
      <w:marTop w:val="10"/>
      <w:marBottom w:val="10"/>
      <w:divBdr>
        <w:top w:val="none" w:sz="0" w:space="0" w:color="auto"/>
        <w:left w:val="none" w:sz="0" w:space="0" w:color="auto"/>
        <w:bottom w:val="none" w:sz="0" w:space="0" w:color="auto"/>
        <w:right w:val="none" w:sz="0" w:space="0" w:color="auto"/>
      </w:divBdr>
    </w:div>
    <w:div w:id="2034987807">
      <w:marLeft w:val="0"/>
      <w:marRight w:val="0"/>
      <w:marTop w:val="10"/>
      <w:marBottom w:val="10"/>
      <w:divBdr>
        <w:top w:val="none" w:sz="0" w:space="0" w:color="auto"/>
        <w:left w:val="none" w:sz="0" w:space="0" w:color="auto"/>
        <w:bottom w:val="none" w:sz="0" w:space="0" w:color="auto"/>
        <w:right w:val="none" w:sz="0" w:space="0" w:color="auto"/>
      </w:divBdr>
    </w:div>
    <w:div w:id="20511065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