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A3EC" w14:textId="77777777" w:rsidR="00405420" w:rsidRDefault="00405420">
      <w:pPr>
        <w:spacing w:line="500" w:lineRule="atLeast"/>
        <w:jc w:val="center"/>
        <w:divId w:val="350493120"/>
        <w:rPr>
          <w:rFonts w:ascii="黑体" w:eastAsia="黑体" w:hAnsi="黑体"/>
          <w:sz w:val="36"/>
          <w:szCs w:val="36"/>
        </w:rPr>
      </w:pPr>
      <w:r>
        <w:rPr>
          <w:rFonts w:ascii="黑体" w:eastAsia="黑体" w:hAnsi="黑体" w:hint="eastAsia"/>
          <w:sz w:val="36"/>
          <w:szCs w:val="36"/>
        </w:rPr>
        <w:t>广东省广州市中级人民法院</w:t>
      </w:r>
    </w:p>
    <w:p w14:paraId="0C656716" w14:textId="77777777" w:rsidR="00405420" w:rsidRDefault="00405420">
      <w:pPr>
        <w:spacing w:line="500" w:lineRule="atLeast"/>
        <w:jc w:val="center"/>
        <w:divId w:val="1745029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305C02" w14:textId="77777777" w:rsidR="00405420" w:rsidRDefault="00405420">
      <w:pPr>
        <w:spacing w:line="500" w:lineRule="atLeast"/>
        <w:jc w:val="right"/>
        <w:divId w:val="3556910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189</w:t>
      </w:r>
      <w:r>
        <w:rPr>
          <w:rFonts w:hint="eastAsia"/>
          <w:sz w:val="30"/>
          <w:szCs w:val="30"/>
        </w:rPr>
        <w:t>号</w:t>
      </w:r>
    </w:p>
    <w:p w14:paraId="3F46883A" w14:textId="77777777" w:rsidR="00405420" w:rsidRDefault="00405420">
      <w:pPr>
        <w:spacing w:line="500" w:lineRule="atLeast"/>
        <w:ind w:firstLine="600"/>
        <w:divId w:val="662243982"/>
        <w:rPr>
          <w:rFonts w:hint="eastAsia"/>
          <w:sz w:val="30"/>
          <w:szCs w:val="30"/>
        </w:rPr>
      </w:pPr>
      <w:r>
        <w:rPr>
          <w:rFonts w:hint="eastAsia"/>
          <w:sz w:val="30"/>
          <w:szCs w:val="30"/>
        </w:rPr>
        <w:t>原公诉机关广州市白云区人民检察院。</w:t>
      </w:r>
    </w:p>
    <w:p w14:paraId="0FE4E833" w14:textId="77777777" w:rsidR="00405420" w:rsidRDefault="00405420">
      <w:pPr>
        <w:spacing w:line="500" w:lineRule="atLeast"/>
        <w:ind w:firstLine="600"/>
        <w:divId w:val="2079786102"/>
        <w:rPr>
          <w:rFonts w:hint="eastAsia"/>
          <w:sz w:val="30"/>
          <w:szCs w:val="30"/>
        </w:rPr>
      </w:pPr>
      <w:r>
        <w:rPr>
          <w:rFonts w:hint="eastAsia"/>
          <w:sz w:val="30"/>
          <w:szCs w:val="30"/>
        </w:rPr>
        <w:t>上诉人（原审被告人）麦某艳，女，</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日出生，汉族，出生地广东省广州市，中共党员，文化程度大专，住广州市白云区，原系广州市白云区市场和质量监督管理局注册科主任科员。因本案于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日被广州市白云区监察委员会依法留置，</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日被逮捕。现羁押于广州市白云区看守所。</w:t>
      </w:r>
    </w:p>
    <w:p w14:paraId="5BAC98CF" w14:textId="77777777" w:rsidR="00405420" w:rsidRDefault="00405420">
      <w:pPr>
        <w:spacing w:line="500" w:lineRule="atLeast"/>
        <w:ind w:firstLine="600"/>
        <w:divId w:val="467626411"/>
        <w:rPr>
          <w:rFonts w:hint="eastAsia"/>
          <w:sz w:val="30"/>
          <w:szCs w:val="30"/>
        </w:rPr>
      </w:pPr>
      <w:r>
        <w:rPr>
          <w:rFonts w:hint="eastAsia"/>
          <w:sz w:val="30"/>
          <w:szCs w:val="30"/>
        </w:rPr>
        <w:t>辩护人陈彩焕，广东华科律师事务所律师。</w:t>
      </w:r>
    </w:p>
    <w:p w14:paraId="076F2474" w14:textId="77777777" w:rsidR="00405420" w:rsidRDefault="00405420">
      <w:pPr>
        <w:spacing w:line="500" w:lineRule="atLeast"/>
        <w:ind w:firstLine="600"/>
        <w:divId w:val="1910076055"/>
        <w:rPr>
          <w:rFonts w:hint="eastAsia"/>
          <w:sz w:val="30"/>
          <w:szCs w:val="30"/>
        </w:rPr>
      </w:pPr>
      <w:r>
        <w:rPr>
          <w:rFonts w:hint="eastAsia"/>
          <w:sz w:val="30"/>
          <w:szCs w:val="30"/>
        </w:rPr>
        <w:t>广州市白云区人民法院审理广州市白云区人民检察院指控原审被告人麦某艳犯滥用职权罪、受贿罪一案，于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1062</w:t>
      </w:r>
      <w:r>
        <w:rPr>
          <w:rFonts w:hint="eastAsia"/>
          <w:sz w:val="30"/>
          <w:szCs w:val="30"/>
        </w:rPr>
        <w:t>号刑事判决。原审被告人麦某艳不服，提出上诉。本院依法组成合议庭，于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日公开开庭审理了本案，广州市人民检察院检察员邵红岚出庭履行职务，上诉人麦某艳及其辩护人陈彩焕到庭参与诉讼。现已审理终结。</w:t>
      </w:r>
    </w:p>
    <w:p w14:paraId="4DD63528" w14:textId="77777777" w:rsidR="00405420" w:rsidRDefault="00405420">
      <w:pPr>
        <w:spacing w:line="500" w:lineRule="atLeast"/>
        <w:ind w:firstLine="600"/>
        <w:divId w:val="698967049"/>
        <w:rPr>
          <w:rFonts w:hint="eastAsia"/>
          <w:sz w:val="30"/>
          <w:szCs w:val="30"/>
        </w:rPr>
      </w:pPr>
      <w:r>
        <w:rPr>
          <w:rFonts w:hint="eastAsia"/>
          <w:sz w:val="30"/>
          <w:szCs w:val="30"/>
        </w:rPr>
        <w:t>原审判决认定：（一）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月，被告人麦某艳在担任广州市白云区市场和质量监督管理局注册科主任科员期间，滥用职权，为陈某某中介代理的</w:t>
      </w:r>
      <w:r>
        <w:rPr>
          <w:rFonts w:hint="eastAsia"/>
          <w:sz w:val="30"/>
          <w:szCs w:val="30"/>
        </w:rPr>
        <w:t>16</w:t>
      </w:r>
      <w:r>
        <w:rPr>
          <w:rFonts w:hint="eastAsia"/>
          <w:sz w:val="30"/>
          <w:szCs w:val="30"/>
        </w:rPr>
        <w:t>家企业、古某某请托的</w:t>
      </w:r>
      <w:r>
        <w:rPr>
          <w:rFonts w:hint="eastAsia"/>
          <w:sz w:val="30"/>
          <w:szCs w:val="30"/>
        </w:rPr>
        <w:t>1</w:t>
      </w:r>
      <w:r>
        <w:rPr>
          <w:rFonts w:hint="eastAsia"/>
          <w:sz w:val="30"/>
          <w:szCs w:val="30"/>
        </w:rPr>
        <w:t>家企业违规解除警示措施，造成国家经济损失人民币</w:t>
      </w:r>
      <w:r>
        <w:rPr>
          <w:rFonts w:hint="eastAsia"/>
          <w:sz w:val="30"/>
          <w:szCs w:val="30"/>
        </w:rPr>
        <w:t>70</w:t>
      </w:r>
      <w:r>
        <w:rPr>
          <w:rFonts w:hint="eastAsia"/>
          <w:sz w:val="30"/>
          <w:szCs w:val="30"/>
        </w:rPr>
        <w:t>万元，并从中分别收受陈某某贿赂的</w:t>
      </w:r>
      <w:r>
        <w:rPr>
          <w:rFonts w:hint="eastAsia"/>
          <w:sz w:val="30"/>
          <w:szCs w:val="30"/>
        </w:rPr>
        <w:t>6.5</w:t>
      </w:r>
      <w:r>
        <w:rPr>
          <w:rFonts w:hint="eastAsia"/>
          <w:sz w:val="30"/>
          <w:szCs w:val="30"/>
        </w:rPr>
        <w:t>万元、古某某的贿赂</w:t>
      </w:r>
      <w:r>
        <w:rPr>
          <w:rFonts w:hint="eastAsia"/>
          <w:sz w:val="30"/>
          <w:szCs w:val="30"/>
        </w:rPr>
        <w:t>5000</w:t>
      </w:r>
      <w:r>
        <w:rPr>
          <w:rFonts w:hint="eastAsia"/>
          <w:sz w:val="30"/>
          <w:szCs w:val="30"/>
        </w:rPr>
        <w:t>元。</w:t>
      </w:r>
    </w:p>
    <w:p w14:paraId="2DC21028" w14:textId="77777777" w:rsidR="00405420" w:rsidRDefault="00405420">
      <w:pPr>
        <w:spacing w:line="500" w:lineRule="atLeast"/>
        <w:ind w:firstLine="600"/>
        <w:divId w:val="1654289478"/>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月，被告人麦某艳在担任广州市白云区市场和质量监督管理局注册科主任科员期间，利用初审企业登记、变更、注销资料的职务便利，接受张某</w:t>
      </w:r>
      <w:r>
        <w:rPr>
          <w:rFonts w:hint="eastAsia"/>
          <w:sz w:val="30"/>
          <w:szCs w:val="30"/>
        </w:rPr>
        <w:t>2</w:t>
      </w:r>
      <w:r>
        <w:rPr>
          <w:rFonts w:hint="eastAsia"/>
          <w:sz w:val="30"/>
          <w:szCs w:val="30"/>
        </w:rPr>
        <w:lastRenderedPageBreak/>
        <w:t>强、何某</w:t>
      </w:r>
      <w:r>
        <w:rPr>
          <w:rFonts w:hint="eastAsia"/>
          <w:sz w:val="30"/>
          <w:szCs w:val="30"/>
        </w:rPr>
        <w:t>2</w:t>
      </w:r>
      <w:r>
        <w:rPr>
          <w:rFonts w:hint="eastAsia"/>
          <w:sz w:val="30"/>
          <w:szCs w:val="30"/>
        </w:rPr>
        <w:t>珍、邝某红、陈某</w:t>
      </w:r>
      <w:r>
        <w:rPr>
          <w:rFonts w:hint="eastAsia"/>
          <w:sz w:val="30"/>
          <w:szCs w:val="30"/>
        </w:rPr>
        <w:t>3</w:t>
      </w:r>
      <w:r>
        <w:rPr>
          <w:rFonts w:hint="eastAsia"/>
          <w:sz w:val="30"/>
          <w:szCs w:val="30"/>
        </w:rPr>
        <w:t>、古某</w:t>
      </w:r>
      <w:r>
        <w:rPr>
          <w:rFonts w:hint="eastAsia"/>
          <w:sz w:val="30"/>
          <w:szCs w:val="30"/>
        </w:rPr>
        <w:t>2</w:t>
      </w:r>
      <w:r>
        <w:rPr>
          <w:rFonts w:hint="eastAsia"/>
          <w:sz w:val="30"/>
          <w:szCs w:val="30"/>
        </w:rPr>
        <w:t>、胡某</w:t>
      </w:r>
      <w:r>
        <w:rPr>
          <w:rFonts w:hint="eastAsia"/>
          <w:sz w:val="30"/>
          <w:szCs w:val="30"/>
        </w:rPr>
        <w:t>2</w:t>
      </w:r>
      <w:r>
        <w:rPr>
          <w:rFonts w:hint="eastAsia"/>
          <w:sz w:val="30"/>
          <w:szCs w:val="30"/>
        </w:rPr>
        <w:t>鸿、刘某</w:t>
      </w:r>
      <w:r>
        <w:rPr>
          <w:rFonts w:hint="eastAsia"/>
          <w:sz w:val="30"/>
          <w:szCs w:val="30"/>
        </w:rPr>
        <w:t>2</w:t>
      </w:r>
      <w:r>
        <w:rPr>
          <w:rFonts w:hint="eastAsia"/>
          <w:sz w:val="30"/>
          <w:szCs w:val="30"/>
        </w:rPr>
        <w:t>贵请托，为相关企业优先加快审核，收受上述人员的贿赂共计</w:t>
      </w:r>
      <w:r>
        <w:rPr>
          <w:rFonts w:hint="eastAsia"/>
          <w:sz w:val="30"/>
          <w:szCs w:val="30"/>
        </w:rPr>
        <w:t>34.05</w:t>
      </w:r>
      <w:r>
        <w:rPr>
          <w:rFonts w:hint="eastAsia"/>
          <w:sz w:val="30"/>
          <w:szCs w:val="30"/>
        </w:rPr>
        <w:t>万元。</w:t>
      </w:r>
    </w:p>
    <w:p w14:paraId="08F29318" w14:textId="77777777" w:rsidR="00405420" w:rsidRDefault="00405420">
      <w:pPr>
        <w:spacing w:line="500" w:lineRule="atLeast"/>
        <w:ind w:firstLine="600"/>
        <w:divId w:val="1525754736"/>
        <w:rPr>
          <w:rFonts w:hint="eastAsia"/>
          <w:sz w:val="30"/>
          <w:szCs w:val="30"/>
        </w:rPr>
      </w:pPr>
      <w:r>
        <w:rPr>
          <w:rFonts w:hint="eastAsia"/>
          <w:sz w:val="30"/>
          <w:szCs w:val="30"/>
        </w:rPr>
        <w:t>原审判决认定上述事实有书证、证人证言、被告人陈述和辩解等证据证实。</w:t>
      </w:r>
    </w:p>
    <w:p w14:paraId="5D01BAE9" w14:textId="77777777" w:rsidR="00405420" w:rsidRDefault="00405420">
      <w:pPr>
        <w:spacing w:line="500" w:lineRule="atLeast"/>
        <w:ind w:firstLine="600"/>
        <w:divId w:val="2038504664"/>
        <w:rPr>
          <w:rFonts w:hint="eastAsia"/>
          <w:sz w:val="30"/>
          <w:szCs w:val="30"/>
        </w:rPr>
      </w:pPr>
      <w:r>
        <w:rPr>
          <w:rFonts w:hint="eastAsia"/>
          <w:sz w:val="30"/>
          <w:szCs w:val="30"/>
        </w:rPr>
        <w:t>原审法院认为，被告人麦某艳身为国家工作机关工作人员滥用职权，致使国家利益遭受重大损失，并利用职务上的便利非法收受他人财物，数额巨大，为他人谋取利益，其行为分别构成滥用职权罪和受贿罪。被告人麦某艳案发后有自首情节，可以减轻处罚。被告人麦某艳归案后退回了全部赃款，确有悔罪表现，依照《中华人民共和国刑法》第三百九十七条第一款、第三百八十五条第一款、第三百八十六条、第三百八十三条、第六十七条第一款、第六十九条、第五十二条、第五十三条、第六十四条之规定，判决：一、被告人麦某艳犯滥用职权罪，判处有期徒刑六个月；犯受贿罪，判处有期徒刑一年六个月，并处罚金十万元，合并有期徒刑二年，并处罚金十万元。决定执行有期徒刑一年八个月，并处罚金十万元。二、对被告人麦某艳退缴的赃款</w:t>
      </w:r>
      <w:r>
        <w:rPr>
          <w:rFonts w:hint="eastAsia"/>
          <w:sz w:val="30"/>
          <w:szCs w:val="30"/>
        </w:rPr>
        <w:t>41.05</w:t>
      </w:r>
      <w:r>
        <w:rPr>
          <w:rFonts w:hint="eastAsia"/>
          <w:sz w:val="30"/>
          <w:szCs w:val="30"/>
        </w:rPr>
        <w:t>万元，予以没收、上缴国库。</w:t>
      </w:r>
    </w:p>
    <w:p w14:paraId="266C6984" w14:textId="77777777" w:rsidR="00405420" w:rsidRDefault="00405420">
      <w:pPr>
        <w:spacing w:line="500" w:lineRule="atLeast"/>
        <w:ind w:firstLine="600"/>
        <w:divId w:val="291255975"/>
        <w:rPr>
          <w:rFonts w:hint="eastAsia"/>
          <w:sz w:val="30"/>
          <w:szCs w:val="30"/>
        </w:rPr>
      </w:pPr>
      <w:r>
        <w:rPr>
          <w:rFonts w:hint="eastAsia"/>
          <w:sz w:val="30"/>
          <w:szCs w:val="30"/>
        </w:rPr>
        <w:t>上诉人麦某艳上诉提出其不构成滥用职权罪。</w:t>
      </w:r>
    </w:p>
    <w:p w14:paraId="2818C3DF" w14:textId="77777777" w:rsidR="00405420" w:rsidRDefault="00405420">
      <w:pPr>
        <w:spacing w:line="500" w:lineRule="atLeast"/>
        <w:ind w:firstLine="600"/>
        <w:divId w:val="780684993"/>
        <w:rPr>
          <w:rFonts w:hint="eastAsia"/>
          <w:sz w:val="30"/>
          <w:szCs w:val="30"/>
        </w:rPr>
      </w:pPr>
      <w:r>
        <w:rPr>
          <w:rFonts w:hint="eastAsia"/>
          <w:sz w:val="30"/>
          <w:szCs w:val="30"/>
        </w:rPr>
        <w:t>辩护人提出辩护意见是：</w:t>
      </w:r>
      <w:r>
        <w:rPr>
          <w:rFonts w:hint="eastAsia"/>
          <w:sz w:val="30"/>
          <w:szCs w:val="30"/>
        </w:rPr>
        <w:t>1</w:t>
      </w:r>
      <w:r>
        <w:rPr>
          <w:rFonts w:hint="eastAsia"/>
          <w:sz w:val="30"/>
          <w:szCs w:val="30"/>
        </w:rPr>
        <w:t>、白云区市场和质量监督管理局对涉案企业采取锁定行为的规定未对外公布，不得作为行政处罚的依据，锁定行为本属违法；</w:t>
      </w:r>
      <w:r>
        <w:rPr>
          <w:rFonts w:hint="eastAsia"/>
          <w:sz w:val="30"/>
          <w:szCs w:val="30"/>
        </w:rPr>
        <w:t>2</w:t>
      </w:r>
      <w:r>
        <w:rPr>
          <w:rFonts w:hint="eastAsia"/>
          <w:sz w:val="30"/>
          <w:szCs w:val="30"/>
        </w:rPr>
        <w:t>、白云区市场和质量监督管理局对涉案企业采取锁定行为未经任何调查核实程序即作出上述行政行为，构成主要证据不足；</w:t>
      </w:r>
      <w:r>
        <w:rPr>
          <w:rFonts w:hint="eastAsia"/>
          <w:sz w:val="30"/>
          <w:szCs w:val="30"/>
        </w:rPr>
        <w:t>3</w:t>
      </w:r>
      <w:r>
        <w:rPr>
          <w:rFonts w:hint="eastAsia"/>
          <w:sz w:val="30"/>
          <w:szCs w:val="30"/>
        </w:rPr>
        <w:t>、锁定的后果是暂缓或停止办理变更登记手续而非缴纳罚款，即锁定行为不导致罚款的发生，两者之间没有任何关系；</w:t>
      </w:r>
      <w:r>
        <w:rPr>
          <w:rFonts w:hint="eastAsia"/>
          <w:sz w:val="30"/>
          <w:szCs w:val="30"/>
        </w:rPr>
        <w:t>4</w:t>
      </w:r>
      <w:r>
        <w:rPr>
          <w:rFonts w:hint="eastAsia"/>
          <w:sz w:val="30"/>
          <w:szCs w:val="30"/>
        </w:rPr>
        <w:t>、解除警示措施的条件为警示措施期限届满或企业在采取警示措施期间纠正了违法违章的情形，不以对企业作出罚款的行政处罚决定且企业已缴纳罚款为前提；</w:t>
      </w:r>
      <w:r>
        <w:rPr>
          <w:rFonts w:hint="eastAsia"/>
          <w:sz w:val="30"/>
          <w:szCs w:val="30"/>
        </w:rPr>
        <w:t>5</w:t>
      </w:r>
      <w:r>
        <w:rPr>
          <w:rFonts w:hint="eastAsia"/>
          <w:sz w:val="30"/>
          <w:szCs w:val="30"/>
        </w:rPr>
        <w:t>、假设解某行为会导致罚款损失，但计算造成损失的时间因截止至广州市白云区监察委员会对本案立案侦查的时间为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日，该日前白云区市场和质量监督管理局除对广州乐冠贸易有限公司作出罚款的行政处罚外，未对其他公司作出行政处罚，检察院提起公诉时发生的罚款损失仍不足</w:t>
      </w:r>
      <w:r>
        <w:rPr>
          <w:rFonts w:hint="eastAsia"/>
          <w:sz w:val="30"/>
          <w:szCs w:val="30"/>
        </w:rPr>
        <w:t>30</w:t>
      </w:r>
      <w:r>
        <w:rPr>
          <w:rFonts w:hint="eastAsia"/>
          <w:sz w:val="30"/>
          <w:szCs w:val="30"/>
        </w:rPr>
        <w:t>万元，原判在行政机关尚未对涉案企业做出罚款的行政处罚决定下，仅以涉案企业应受罚款的最低数额</w:t>
      </w:r>
      <w:r>
        <w:rPr>
          <w:rFonts w:hint="eastAsia"/>
          <w:sz w:val="30"/>
          <w:szCs w:val="30"/>
        </w:rPr>
        <w:t>5</w:t>
      </w:r>
      <w:r>
        <w:rPr>
          <w:rFonts w:hint="eastAsia"/>
          <w:sz w:val="30"/>
          <w:szCs w:val="30"/>
        </w:rPr>
        <w:t>万元计算罚款损失，违反了行政处罚法定、公开、公正的基本原则，也违背了司法解释对经济损失计算的规定。综上，原判认定上诉人麦某艳构成滥用职权罪证据不足，恳请二审法院在查明麦某艳没有造成国家罚款损失的</w:t>
      </w:r>
      <w:r>
        <w:rPr>
          <w:rFonts w:hint="eastAsia"/>
          <w:sz w:val="30"/>
          <w:szCs w:val="30"/>
        </w:rPr>
        <w:t>情况下，不予认定麦某艳构成滥用职权罪，并考虑麦某艳自首、退赃等情节对其适用缓刑。</w:t>
      </w:r>
    </w:p>
    <w:p w14:paraId="591F1076" w14:textId="77777777" w:rsidR="00405420" w:rsidRDefault="00405420">
      <w:pPr>
        <w:spacing w:line="500" w:lineRule="atLeast"/>
        <w:ind w:firstLine="600"/>
        <w:divId w:val="1704015530"/>
        <w:rPr>
          <w:rFonts w:hint="eastAsia"/>
          <w:sz w:val="30"/>
          <w:szCs w:val="30"/>
        </w:rPr>
      </w:pPr>
      <w:r>
        <w:rPr>
          <w:rFonts w:hint="eastAsia"/>
          <w:sz w:val="30"/>
          <w:szCs w:val="30"/>
        </w:rPr>
        <w:t>出庭检察员发表的意见为：原审认定麦某艳犯滥用职权罪、受贿罪的事实清楚，证据确实充分，使用法律正确，量刑适当，审判程序合法，建议维持原判。</w:t>
      </w:r>
    </w:p>
    <w:p w14:paraId="17C75F87" w14:textId="77777777" w:rsidR="00405420" w:rsidRDefault="00405420">
      <w:pPr>
        <w:spacing w:line="500" w:lineRule="atLeast"/>
        <w:ind w:firstLine="600"/>
        <w:divId w:val="910429430"/>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月，被告人麦某艳在担任广州市白云区市场和质量监督管理局注册科主任科员期间，利用初审企业登记、变更、注销资料、解某的职务便利，接受张某</w:t>
      </w:r>
      <w:r>
        <w:rPr>
          <w:rFonts w:hint="eastAsia"/>
          <w:sz w:val="30"/>
          <w:szCs w:val="30"/>
        </w:rPr>
        <w:t>2</w:t>
      </w:r>
      <w:r>
        <w:rPr>
          <w:rFonts w:hint="eastAsia"/>
          <w:sz w:val="30"/>
          <w:szCs w:val="30"/>
        </w:rPr>
        <w:t>强等</w:t>
      </w:r>
      <w:r>
        <w:rPr>
          <w:rFonts w:hint="eastAsia"/>
          <w:sz w:val="30"/>
          <w:szCs w:val="30"/>
        </w:rPr>
        <w:t>7</w:t>
      </w:r>
      <w:r>
        <w:rPr>
          <w:rFonts w:hint="eastAsia"/>
          <w:sz w:val="30"/>
          <w:szCs w:val="30"/>
        </w:rPr>
        <w:t>人的请托，为相关企业优先加快审核，为陈某某中介代理的</w:t>
      </w:r>
      <w:r>
        <w:rPr>
          <w:rFonts w:hint="eastAsia"/>
          <w:sz w:val="30"/>
          <w:szCs w:val="30"/>
        </w:rPr>
        <w:t>16</w:t>
      </w:r>
      <w:r>
        <w:rPr>
          <w:rFonts w:hint="eastAsia"/>
          <w:sz w:val="30"/>
          <w:szCs w:val="30"/>
        </w:rPr>
        <w:t>家企业、古某某请托的</w:t>
      </w:r>
      <w:r>
        <w:rPr>
          <w:rFonts w:hint="eastAsia"/>
          <w:sz w:val="30"/>
          <w:szCs w:val="30"/>
        </w:rPr>
        <w:t>1</w:t>
      </w:r>
      <w:r>
        <w:rPr>
          <w:rFonts w:hint="eastAsia"/>
          <w:sz w:val="30"/>
          <w:szCs w:val="30"/>
        </w:rPr>
        <w:t>家企业违规解除警示措施，共收受上述人员的贿赂共计</w:t>
      </w:r>
      <w:r>
        <w:rPr>
          <w:rFonts w:hint="eastAsia"/>
          <w:sz w:val="30"/>
          <w:szCs w:val="30"/>
        </w:rPr>
        <w:t>41.05</w:t>
      </w:r>
      <w:r>
        <w:rPr>
          <w:rFonts w:hint="eastAsia"/>
          <w:sz w:val="30"/>
          <w:szCs w:val="30"/>
        </w:rPr>
        <w:t>万元。</w:t>
      </w:r>
    </w:p>
    <w:p w14:paraId="56A87DA8" w14:textId="77777777" w:rsidR="00405420" w:rsidRDefault="00405420">
      <w:pPr>
        <w:spacing w:line="500" w:lineRule="atLeast"/>
        <w:ind w:firstLine="600"/>
        <w:divId w:val="1109349333"/>
        <w:rPr>
          <w:rFonts w:hint="eastAsia"/>
          <w:sz w:val="30"/>
          <w:szCs w:val="30"/>
        </w:rPr>
      </w:pPr>
      <w:r>
        <w:rPr>
          <w:rFonts w:hint="eastAsia"/>
          <w:sz w:val="30"/>
          <w:szCs w:val="30"/>
        </w:rPr>
        <w:t>上述事实，有证人古某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、谭某、黄某、王某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、邝美红、陈某</w:t>
      </w:r>
      <w:r>
        <w:rPr>
          <w:rFonts w:hint="eastAsia"/>
          <w:sz w:val="30"/>
          <w:szCs w:val="30"/>
        </w:rPr>
        <w:t>2</w:t>
      </w:r>
      <w:r>
        <w:rPr>
          <w:rFonts w:hint="eastAsia"/>
          <w:sz w:val="30"/>
          <w:szCs w:val="30"/>
        </w:rPr>
        <w:t>、胡某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被告人麦某艳的微信账号截图，被告人的微信账号转账交易记录截图及相关解某的短信聊天记录截图，证人谭某提供的解某业务清单，《广州市工商行政管理机关对商事主体实施警示措施规则》《关于在监管工作中锁定、解某的工作规范》等相关法规文件，广州市白云区市场和质量监督管理局提供的关于涉案</w:t>
      </w:r>
      <w:r>
        <w:rPr>
          <w:rFonts w:hint="eastAsia"/>
          <w:sz w:val="30"/>
          <w:szCs w:val="30"/>
        </w:rPr>
        <w:t>17</w:t>
      </w:r>
      <w:r>
        <w:rPr>
          <w:rFonts w:hint="eastAsia"/>
          <w:sz w:val="30"/>
          <w:szCs w:val="30"/>
        </w:rPr>
        <w:t>家企业的载入经营异常名录决定书、被解除警示措施的说明等材料，广州市白云区市场和质量监督管理局关于提供虚假地址取得公司登记案件处理的有关说明、对涉案</w:t>
      </w:r>
      <w:r>
        <w:rPr>
          <w:rFonts w:hint="eastAsia"/>
          <w:sz w:val="30"/>
          <w:szCs w:val="30"/>
        </w:rPr>
        <w:t>17</w:t>
      </w:r>
      <w:r>
        <w:rPr>
          <w:rFonts w:hint="eastAsia"/>
          <w:sz w:val="30"/>
          <w:szCs w:val="30"/>
        </w:rPr>
        <w:t>家企业重新立案的材料，关于对广州漫点贸易有限公司等</w:t>
      </w:r>
      <w:r>
        <w:rPr>
          <w:rFonts w:hint="eastAsia"/>
          <w:sz w:val="30"/>
          <w:szCs w:val="30"/>
        </w:rPr>
        <w:t>15</w:t>
      </w:r>
      <w:r>
        <w:rPr>
          <w:rFonts w:hint="eastAsia"/>
          <w:sz w:val="30"/>
          <w:szCs w:val="30"/>
        </w:rPr>
        <w:t>家涉案企业立案调查情况的报告及附件，广州市白云区工商行政管理局穗云工商处字</w:t>
      </w:r>
      <w:r>
        <w:rPr>
          <w:rFonts w:hint="eastAsia"/>
          <w:sz w:val="30"/>
          <w:szCs w:val="30"/>
        </w:rPr>
        <w:t>(2018)598</w:t>
      </w:r>
      <w:r>
        <w:rPr>
          <w:rFonts w:hint="eastAsia"/>
          <w:sz w:val="30"/>
          <w:szCs w:val="30"/>
        </w:rPr>
        <w:t>、</w:t>
      </w:r>
      <w:r>
        <w:rPr>
          <w:rFonts w:hint="eastAsia"/>
          <w:sz w:val="30"/>
          <w:szCs w:val="30"/>
        </w:rPr>
        <w:t>624</w:t>
      </w:r>
      <w:r>
        <w:rPr>
          <w:rFonts w:hint="eastAsia"/>
          <w:sz w:val="30"/>
          <w:szCs w:val="30"/>
        </w:rPr>
        <w:t>、</w:t>
      </w:r>
      <w:r>
        <w:rPr>
          <w:rFonts w:hint="eastAsia"/>
          <w:sz w:val="30"/>
          <w:szCs w:val="30"/>
        </w:rPr>
        <w:t>655</w:t>
      </w:r>
      <w:r>
        <w:rPr>
          <w:rFonts w:hint="eastAsia"/>
          <w:sz w:val="30"/>
          <w:szCs w:val="30"/>
        </w:rPr>
        <w:t>、</w:t>
      </w:r>
      <w:r>
        <w:rPr>
          <w:rFonts w:hint="eastAsia"/>
          <w:sz w:val="30"/>
          <w:szCs w:val="30"/>
        </w:rPr>
        <w:t>663</w:t>
      </w:r>
      <w:r>
        <w:rPr>
          <w:rFonts w:hint="eastAsia"/>
          <w:sz w:val="30"/>
          <w:szCs w:val="30"/>
        </w:rPr>
        <w:t>、</w:t>
      </w:r>
      <w:r>
        <w:rPr>
          <w:rFonts w:hint="eastAsia"/>
          <w:sz w:val="30"/>
          <w:szCs w:val="30"/>
        </w:rPr>
        <w:t>681</w:t>
      </w:r>
      <w:r>
        <w:rPr>
          <w:rFonts w:hint="eastAsia"/>
          <w:sz w:val="30"/>
          <w:szCs w:val="30"/>
        </w:rPr>
        <w:t>、</w:t>
      </w:r>
      <w:r>
        <w:rPr>
          <w:rFonts w:hint="eastAsia"/>
          <w:sz w:val="30"/>
          <w:szCs w:val="30"/>
        </w:rPr>
        <w:t>689</w:t>
      </w:r>
      <w:r>
        <w:rPr>
          <w:rFonts w:hint="eastAsia"/>
          <w:sz w:val="30"/>
          <w:szCs w:val="30"/>
        </w:rPr>
        <w:t>号等行政处罚决定书及电子发票，广州市白云区工商行政管理局行政处罚决定书及穗云工商公告</w:t>
      </w:r>
      <w:r>
        <w:rPr>
          <w:rFonts w:hint="eastAsia"/>
          <w:sz w:val="30"/>
          <w:szCs w:val="30"/>
        </w:rPr>
        <w:t>(2018)89</w:t>
      </w:r>
      <w:r>
        <w:rPr>
          <w:rFonts w:hint="eastAsia"/>
          <w:sz w:val="30"/>
          <w:szCs w:val="30"/>
        </w:rPr>
        <w:t>、</w:t>
      </w:r>
      <w:r>
        <w:rPr>
          <w:rFonts w:hint="eastAsia"/>
          <w:sz w:val="30"/>
          <w:szCs w:val="30"/>
        </w:rPr>
        <w:t>90</w:t>
      </w:r>
      <w:r>
        <w:rPr>
          <w:rFonts w:hint="eastAsia"/>
          <w:sz w:val="30"/>
          <w:szCs w:val="30"/>
        </w:rPr>
        <w:t>、</w:t>
      </w:r>
      <w:r>
        <w:rPr>
          <w:rFonts w:hint="eastAsia"/>
          <w:sz w:val="30"/>
          <w:szCs w:val="30"/>
        </w:rPr>
        <w:t>97</w:t>
      </w:r>
      <w:r>
        <w:rPr>
          <w:rFonts w:hint="eastAsia"/>
          <w:sz w:val="30"/>
          <w:szCs w:val="30"/>
        </w:rPr>
        <w:t>、</w:t>
      </w:r>
      <w:r>
        <w:rPr>
          <w:rFonts w:hint="eastAsia"/>
          <w:sz w:val="30"/>
          <w:szCs w:val="30"/>
        </w:rPr>
        <w:t>118</w:t>
      </w:r>
      <w:r>
        <w:rPr>
          <w:rFonts w:hint="eastAsia"/>
          <w:sz w:val="30"/>
          <w:szCs w:val="30"/>
        </w:rPr>
        <w:t>号公告等，《关于麦某艳密钥权限的说明》材料，广州市工商行政管理局白云分局关于明确注册科岗位审批时限及登记审批权限的通知，被告人麦某艳的干部任免审批表，广州市白云区市场和质量监督管理局出具的《关于麦某</w:t>
      </w:r>
      <w:r>
        <w:rPr>
          <w:rFonts w:hint="eastAsia"/>
          <w:sz w:val="30"/>
          <w:szCs w:val="30"/>
        </w:rPr>
        <w:t>艳身份及任职情况说明》，扣押清单，被告人麦某艳的身份材料，到案经过，受案登记表，立案决定书等证据证实，足以认定。</w:t>
      </w:r>
    </w:p>
    <w:p w14:paraId="18E9780A" w14:textId="77777777" w:rsidR="00405420" w:rsidRDefault="00405420">
      <w:pPr>
        <w:spacing w:line="500" w:lineRule="atLeast"/>
        <w:ind w:firstLine="600"/>
        <w:divId w:val="618529996"/>
        <w:rPr>
          <w:rFonts w:hint="eastAsia"/>
          <w:sz w:val="30"/>
          <w:szCs w:val="30"/>
        </w:rPr>
      </w:pPr>
      <w:r>
        <w:rPr>
          <w:rFonts w:hint="eastAsia"/>
          <w:sz w:val="30"/>
          <w:szCs w:val="30"/>
        </w:rPr>
        <w:t>关于本案的争议焦点，系上诉人麦某艳的违规为企业解除警示措施行为是否必然导致</w:t>
      </w:r>
      <w:r>
        <w:rPr>
          <w:rFonts w:hint="eastAsia"/>
          <w:sz w:val="30"/>
          <w:szCs w:val="30"/>
        </w:rPr>
        <w:t>70</w:t>
      </w:r>
      <w:r>
        <w:rPr>
          <w:rFonts w:hint="eastAsia"/>
          <w:sz w:val="30"/>
          <w:szCs w:val="30"/>
        </w:rPr>
        <w:t>万元经济损失从而构成滥用职权罪的问题。经查：</w:t>
      </w:r>
    </w:p>
    <w:p w14:paraId="4FAEE196" w14:textId="77777777" w:rsidR="00405420" w:rsidRDefault="00405420">
      <w:pPr>
        <w:spacing w:line="500" w:lineRule="atLeast"/>
        <w:ind w:firstLine="600"/>
        <w:divId w:val="379594629"/>
        <w:rPr>
          <w:rFonts w:hint="eastAsia"/>
          <w:sz w:val="30"/>
          <w:szCs w:val="30"/>
        </w:rPr>
      </w:pPr>
      <w:r>
        <w:rPr>
          <w:rFonts w:hint="eastAsia"/>
          <w:sz w:val="30"/>
          <w:szCs w:val="30"/>
        </w:rPr>
        <w:t>1.</w:t>
      </w:r>
      <w:r>
        <w:rPr>
          <w:rFonts w:hint="eastAsia"/>
          <w:sz w:val="30"/>
          <w:szCs w:val="30"/>
        </w:rPr>
        <w:t>《广州市工商行政管理机关对商事主体实施警示措施规则》第十二条规定：被采取警示措施的商事主体符合下列情形的，经办部门应当及时解除警示措施：（一）提交了其在核准住所、分支机构经营场所、申报经营场所从事经营活动等证明材料，经查属实的；（二）提交了变更住所、分支机构经营场所、接收申报经营场所等证明材料，经查属实的；（三）已执行处罚决定的；（四）其他行政机关要求提前解除警示措施的；（五）法定代表人被列入“法定代表人黑名单”的商事主体已变更法定代表人的；（六）其他应予以解除的情形。上述规定显示，执行行政处罚是解除警示措施的条件之一，并不是唯一的必要条件；《白云区市场和质量监管局法制科案件审议委员会纪要》记载：关于对提供虚假材料取得注册登记企业的分类处理建议：一、对于正常经营且有其他合法住所的企业，依法立案处罚，待其履行处罚决定完毕后，依照有关程序解除警示措施，由企业办理住所变更登记，改正相关违法行为。二、对于下落不明的企业，按照国家工商总局、国家税务总局关于清理长期停业未经营企业工作有关问题的通知等有关规定，待相关条件成熟后，依法吊销其营业执照。三、对于没有正常经营且无继续经营意愿的企业，由于该企业存在相关违法行为，建议</w:t>
      </w:r>
      <w:r>
        <w:rPr>
          <w:rFonts w:hint="eastAsia"/>
          <w:sz w:val="30"/>
          <w:szCs w:val="30"/>
        </w:rPr>
        <w:t>由我局相关办案单位启动调查程序，查清其提供虚假注册材料取得注册登记的违法事实，并依据行政许可法的有关规定，撤销其企业登记。四、对于在我局发现其提供虚假注册资料取得注册登记违法行为前已启动注销程序，处于清算状态且没有其他违法行为的企业，建议通过有关程序变更其警示措施，提示该企业仅允许办理注销登记手续，不再给予行政处罚。上述会议纪要显示，对提供虚假材料取得注册登记企业有多种处理措施，行政处罚是其中的措施之一。</w:t>
      </w:r>
    </w:p>
    <w:p w14:paraId="03111C0D" w14:textId="77777777" w:rsidR="00405420" w:rsidRDefault="00405420">
      <w:pPr>
        <w:spacing w:line="500" w:lineRule="atLeast"/>
        <w:ind w:firstLine="600"/>
        <w:divId w:val="850872250"/>
        <w:rPr>
          <w:rFonts w:hint="eastAsia"/>
          <w:sz w:val="30"/>
          <w:szCs w:val="30"/>
        </w:rPr>
      </w:pPr>
      <w:r>
        <w:rPr>
          <w:rFonts w:hint="eastAsia"/>
          <w:sz w:val="30"/>
          <w:szCs w:val="30"/>
        </w:rPr>
        <w:t>根据白云区市场和质量监督管理局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日出具的《关于对广州漫点有限公司等</w:t>
      </w:r>
      <w:r>
        <w:rPr>
          <w:rFonts w:hint="eastAsia"/>
          <w:sz w:val="30"/>
          <w:szCs w:val="30"/>
        </w:rPr>
        <w:t>15</w:t>
      </w:r>
      <w:r>
        <w:rPr>
          <w:rFonts w:hint="eastAsia"/>
          <w:sz w:val="30"/>
          <w:szCs w:val="30"/>
        </w:rPr>
        <w:t>家企业立案调查情况的报告》显示，截止至</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家企业中，</w:t>
      </w:r>
      <w:r>
        <w:rPr>
          <w:rFonts w:hint="eastAsia"/>
          <w:sz w:val="30"/>
          <w:szCs w:val="30"/>
        </w:rPr>
        <w:t>3</w:t>
      </w:r>
      <w:r>
        <w:rPr>
          <w:rFonts w:hint="eastAsia"/>
          <w:sz w:val="30"/>
          <w:szCs w:val="30"/>
        </w:rPr>
        <w:t>家企业已结案并交罚款（结案时间分别为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26</w:t>
      </w:r>
      <w:r>
        <w:rPr>
          <w:rFonts w:hint="eastAsia"/>
          <w:sz w:val="30"/>
          <w:szCs w:val="30"/>
        </w:rPr>
        <w:t>日，</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1</w:t>
      </w:r>
      <w:r>
        <w:rPr>
          <w:rFonts w:hint="eastAsia"/>
          <w:sz w:val="30"/>
          <w:szCs w:val="30"/>
        </w:rPr>
        <w:t>家企业已签收行政处罚决定书但申请分期付款；</w:t>
      </w:r>
      <w:r>
        <w:rPr>
          <w:rFonts w:hint="eastAsia"/>
          <w:sz w:val="30"/>
          <w:szCs w:val="30"/>
        </w:rPr>
        <w:t>2</w:t>
      </w:r>
      <w:r>
        <w:rPr>
          <w:rFonts w:hint="eastAsia"/>
          <w:sz w:val="30"/>
          <w:szCs w:val="30"/>
        </w:rPr>
        <w:t>家企业已签收行政处罚决定书但尚未交罚款；</w:t>
      </w:r>
      <w:r>
        <w:rPr>
          <w:rFonts w:hint="eastAsia"/>
          <w:sz w:val="30"/>
          <w:szCs w:val="30"/>
        </w:rPr>
        <w:t>3</w:t>
      </w:r>
      <w:r>
        <w:rPr>
          <w:rFonts w:hint="eastAsia"/>
          <w:sz w:val="30"/>
          <w:szCs w:val="30"/>
        </w:rPr>
        <w:t>家企业尚未签收行政处理决定（告知）书；</w:t>
      </w:r>
      <w:r>
        <w:rPr>
          <w:rFonts w:hint="eastAsia"/>
          <w:sz w:val="30"/>
          <w:szCs w:val="30"/>
        </w:rPr>
        <w:t>4</w:t>
      </w:r>
      <w:r>
        <w:rPr>
          <w:rFonts w:hint="eastAsia"/>
          <w:sz w:val="30"/>
          <w:szCs w:val="30"/>
        </w:rPr>
        <w:t>家企业已立案调查并取证，但当事人不配合调查，现采取公告方式通知当事人前来调查处理；</w:t>
      </w:r>
      <w:r>
        <w:rPr>
          <w:rFonts w:hint="eastAsia"/>
          <w:sz w:val="30"/>
          <w:szCs w:val="30"/>
        </w:rPr>
        <w:t>2</w:t>
      </w:r>
      <w:r>
        <w:rPr>
          <w:rFonts w:hint="eastAsia"/>
          <w:sz w:val="30"/>
          <w:szCs w:val="30"/>
        </w:rPr>
        <w:t>家企业尚未完成调查取证。</w:t>
      </w:r>
    </w:p>
    <w:p w14:paraId="426DC90F" w14:textId="77777777" w:rsidR="00405420" w:rsidRDefault="00405420">
      <w:pPr>
        <w:spacing w:line="500" w:lineRule="atLeast"/>
        <w:ind w:firstLine="600"/>
        <w:divId w:val="981614730"/>
        <w:rPr>
          <w:rFonts w:hint="eastAsia"/>
          <w:sz w:val="30"/>
          <w:szCs w:val="30"/>
        </w:rPr>
      </w:pPr>
      <w:r>
        <w:rPr>
          <w:rFonts w:hint="eastAsia"/>
          <w:sz w:val="30"/>
          <w:szCs w:val="30"/>
        </w:rPr>
        <w:t>综上，无论是内部会议纪要还是相关规定，都显示解除警示措施（解某）有多种途径，并没有规定企业被采取警示措施（锁定）后，必定要进行行政处罚。麦某艳违规解某的</w:t>
      </w:r>
      <w:r>
        <w:rPr>
          <w:rFonts w:hint="eastAsia"/>
          <w:sz w:val="30"/>
          <w:szCs w:val="30"/>
        </w:rPr>
        <w:t>14</w:t>
      </w:r>
      <w:r>
        <w:rPr>
          <w:rFonts w:hint="eastAsia"/>
          <w:sz w:val="30"/>
          <w:szCs w:val="30"/>
        </w:rPr>
        <w:t>家企业（解某</w:t>
      </w:r>
      <w:r>
        <w:rPr>
          <w:rFonts w:hint="eastAsia"/>
          <w:sz w:val="30"/>
          <w:szCs w:val="30"/>
        </w:rPr>
        <w:t>17</w:t>
      </w:r>
      <w:r>
        <w:rPr>
          <w:rFonts w:hint="eastAsia"/>
          <w:sz w:val="30"/>
          <w:szCs w:val="30"/>
        </w:rPr>
        <w:t>家，后主动锁回</w:t>
      </w:r>
      <w:r>
        <w:rPr>
          <w:rFonts w:hint="eastAsia"/>
          <w:sz w:val="30"/>
          <w:szCs w:val="30"/>
        </w:rPr>
        <w:t>3</w:t>
      </w:r>
      <w:r>
        <w:rPr>
          <w:rFonts w:hint="eastAsia"/>
          <w:sz w:val="30"/>
          <w:szCs w:val="30"/>
        </w:rPr>
        <w:t>家），处理结果尚未全部完成，是否均需要进行罚款尚未确定，原判即以</w:t>
      </w:r>
      <w:r>
        <w:rPr>
          <w:rFonts w:hint="eastAsia"/>
          <w:sz w:val="30"/>
          <w:szCs w:val="30"/>
        </w:rPr>
        <w:t>14</w:t>
      </w:r>
      <w:r>
        <w:rPr>
          <w:rFonts w:hint="eastAsia"/>
          <w:sz w:val="30"/>
          <w:szCs w:val="30"/>
        </w:rPr>
        <w:t>家企业应受罚款的最低数额</w:t>
      </w:r>
      <w:r>
        <w:rPr>
          <w:rFonts w:hint="eastAsia"/>
          <w:sz w:val="30"/>
          <w:szCs w:val="30"/>
        </w:rPr>
        <w:t>5</w:t>
      </w:r>
      <w:r>
        <w:rPr>
          <w:rFonts w:hint="eastAsia"/>
          <w:sz w:val="30"/>
          <w:szCs w:val="30"/>
        </w:rPr>
        <w:t>万元计算认定本案的经济损失</w:t>
      </w:r>
      <w:r>
        <w:rPr>
          <w:rFonts w:hint="eastAsia"/>
          <w:sz w:val="30"/>
          <w:szCs w:val="30"/>
        </w:rPr>
        <w:t>70</w:t>
      </w:r>
      <w:r>
        <w:rPr>
          <w:rFonts w:hint="eastAsia"/>
          <w:sz w:val="30"/>
          <w:szCs w:val="30"/>
        </w:rPr>
        <w:t>万元，无依据支持。</w:t>
      </w:r>
    </w:p>
    <w:p w14:paraId="08C70FFC" w14:textId="77777777" w:rsidR="00405420" w:rsidRDefault="00405420">
      <w:pPr>
        <w:spacing w:line="500" w:lineRule="atLeast"/>
        <w:ind w:firstLine="600"/>
        <w:divId w:val="2126459475"/>
        <w:rPr>
          <w:rFonts w:hint="eastAsia"/>
          <w:sz w:val="30"/>
          <w:szCs w:val="30"/>
        </w:rPr>
      </w:pPr>
      <w:r>
        <w:rPr>
          <w:rFonts w:hint="eastAsia"/>
          <w:sz w:val="30"/>
          <w:szCs w:val="30"/>
        </w:rPr>
        <w:t>2.</w:t>
      </w:r>
      <w:r>
        <w:rPr>
          <w:rFonts w:hint="eastAsia"/>
          <w:sz w:val="30"/>
          <w:szCs w:val="30"/>
        </w:rPr>
        <w:t>《最高人民法院最高人民检察院关于办理渎职刑事案件适用法律若干问题的解释（一）》第八条规定：“本解释规定的‘经济损失’</w:t>
      </w:r>
      <w:r>
        <w:rPr>
          <w:rFonts w:hint="eastAsia"/>
          <w:sz w:val="30"/>
          <w:szCs w:val="30"/>
        </w:rPr>
        <w:t>,</w:t>
      </w:r>
      <w:r>
        <w:rPr>
          <w:rFonts w:hint="eastAsia"/>
          <w:sz w:val="30"/>
          <w:szCs w:val="30"/>
        </w:rPr>
        <w:t>是指渎职犯罪或者与渎职犯罪相关联的犯罪立案时已经实际造成的财产损失，包括为挽回渎职犯罪所造成损失而支付的各种开支、费用等。立案后至提起公诉前持续发生的经济损失，应一并计入渎职犯罪造成的损失”。本案中，白云区监察委员会对麦某艳滥用职权予以立案时间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日，白云区人民检察院于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日向白云区人民法院提起公诉。前述《关于对广州漫点有限公司等</w:t>
      </w:r>
      <w:r>
        <w:rPr>
          <w:rFonts w:hint="eastAsia"/>
          <w:sz w:val="30"/>
          <w:szCs w:val="30"/>
        </w:rPr>
        <w:t>15</w:t>
      </w:r>
      <w:r>
        <w:rPr>
          <w:rFonts w:hint="eastAsia"/>
          <w:sz w:val="30"/>
          <w:szCs w:val="30"/>
        </w:rPr>
        <w:t>家企业立案调查情况的报告》显示，截止至本案提起公诉时，白云区市场和质量监督管理局对多家企业的行政处罚数额尚未达到</w:t>
      </w:r>
      <w:r>
        <w:rPr>
          <w:rFonts w:hint="eastAsia"/>
          <w:sz w:val="30"/>
          <w:szCs w:val="30"/>
        </w:rPr>
        <w:t>30</w:t>
      </w:r>
      <w:r>
        <w:rPr>
          <w:rFonts w:hint="eastAsia"/>
          <w:sz w:val="30"/>
          <w:szCs w:val="30"/>
        </w:rPr>
        <w:t>万元，即麦某艳造成的实际经济损失未达到滥用职权行为构成犯罪的数额要求。原审判决以可能实施的行政处罚数额作为本案“实际损失”数额，违反了上述《司法解释》规定。</w:t>
      </w:r>
    </w:p>
    <w:p w14:paraId="57BCDE42" w14:textId="77777777" w:rsidR="00405420" w:rsidRDefault="00405420">
      <w:pPr>
        <w:spacing w:line="500" w:lineRule="atLeast"/>
        <w:ind w:firstLine="600"/>
        <w:divId w:val="717508677"/>
        <w:rPr>
          <w:rFonts w:hint="eastAsia"/>
          <w:sz w:val="30"/>
          <w:szCs w:val="30"/>
        </w:rPr>
      </w:pPr>
      <w:r>
        <w:rPr>
          <w:rFonts w:hint="eastAsia"/>
          <w:sz w:val="30"/>
          <w:szCs w:val="30"/>
        </w:rPr>
        <w:t>综上，行政处罚（罚款）并非是涉案企业解除警示措施的唯一途径，麦某艳违规解某行为并不必然导致</w:t>
      </w:r>
      <w:r>
        <w:rPr>
          <w:rFonts w:hint="eastAsia"/>
          <w:sz w:val="30"/>
          <w:szCs w:val="30"/>
        </w:rPr>
        <w:t>70</w:t>
      </w:r>
      <w:r>
        <w:rPr>
          <w:rFonts w:hint="eastAsia"/>
          <w:sz w:val="30"/>
          <w:szCs w:val="30"/>
        </w:rPr>
        <w:t>万罚款的损失，且至本案提起公诉时，实际经济损失尚未达到滥用职权罪构成犯罪的数额标准，因此，认定麦某艳构成滥用职权罪的证据不充分。对于上诉人麦某艳及其辩护人提出麦某艳不构成滥用职权罪的上诉、辩护意见，本院予以采纳。</w:t>
      </w:r>
    </w:p>
    <w:p w14:paraId="03A76E29" w14:textId="77777777" w:rsidR="00405420" w:rsidRDefault="00405420">
      <w:pPr>
        <w:spacing w:line="500" w:lineRule="atLeast"/>
        <w:ind w:firstLine="600"/>
        <w:divId w:val="403525479"/>
        <w:rPr>
          <w:rFonts w:hint="eastAsia"/>
          <w:sz w:val="30"/>
          <w:szCs w:val="30"/>
        </w:rPr>
      </w:pPr>
      <w:r>
        <w:rPr>
          <w:rFonts w:hint="eastAsia"/>
          <w:sz w:val="30"/>
          <w:szCs w:val="30"/>
        </w:rPr>
        <w:t>本院认为，上诉人麦某艳作为国家工作人员，利用职务便利，为他人谋取利益，收受他人财物，其行为已构成受贿罪。原判认定上诉人麦某艳犯受贿罪的事实清楚，证据确实充分，但认定麦某艳构成滥用职权罪的证据不足，本院予以纠正。上诉人麦某艳有自首情节，且退清全部赃款，确有悔罪表现，依法可减轻处罚。依照《中华人民共和国刑事诉讼法》第二百三十六条第一款第（二）项，《中华人民共和国刑法》三百八十五条第一款、第三百八十六条、第三百八十三条、第六十七条第一款、第五十二条、第五十三条、第六十四条的规定，判决如下：</w:t>
      </w:r>
    </w:p>
    <w:p w14:paraId="4939C8C0" w14:textId="77777777" w:rsidR="00405420" w:rsidRDefault="00405420">
      <w:pPr>
        <w:spacing w:line="500" w:lineRule="atLeast"/>
        <w:ind w:firstLine="600"/>
        <w:divId w:val="1331064544"/>
        <w:rPr>
          <w:rFonts w:hint="eastAsia"/>
          <w:sz w:val="30"/>
          <w:szCs w:val="30"/>
        </w:rPr>
      </w:pPr>
      <w:r>
        <w:rPr>
          <w:rFonts w:hint="eastAsia"/>
          <w:sz w:val="30"/>
          <w:szCs w:val="30"/>
        </w:rPr>
        <w:t>一、维持广州市白云区人民法院（</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1062</w:t>
      </w:r>
      <w:r>
        <w:rPr>
          <w:rFonts w:hint="eastAsia"/>
          <w:sz w:val="30"/>
          <w:szCs w:val="30"/>
        </w:rPr>
        <w:t>号刑事判决第二项以及第一项中对上诉人麦某艳犯受贿罪的定罪和量刑部分。</w:t>
      </w:r>
    </w:p>
    <w:p w14:paraId="48D74DE2" w14:textId="77777777" w:rsidR="00405420" w:rsidRDefault="00405420">
      <w:pPr>
        <w:spacing w:line="500" w:lineRule="atLeast"/>
        <w:ind w:firstLine="600"/>
        <w:divId w:val="989140637"/>
        <w:rPr>
          <w:rFonts w:hint="eastAsia"/>
          <w:sz w:val="30"/>
          <w:szCs w:val="30"/>
        </w:rPr>
      </w:pPr>
      <w:r>
        <w:rPr>
          <w:rFonts w:hint="eastAsia"/>
          <w:sz w:val="30"/>
          <w:szCs w:val="30"/>
        </w:rPr>
        <w:t>二、撤销广州市白云区人民法院（</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1062</w:t>
      </w:r>
      <w:r>
        <w:rPr>
          <w:rFonts w:hint="eastAsia"/>
          <w:sz w:val="30"/>
          <w:szCs w:val="30"/>
        </w:rPr>
        <w:t>号刑事判决第一项中对上诉人麦某艳犯滥用职权罪的定罪和量刑部分。</w:t>
      </w:r>
    </w:p>
    <w:p w14:paraId="06D3B2AB" w14:textId="77777777" w:rsidR="00405420" w:rsidRDefault="00405420">
      <w:pPr>
        <w:spacing w:line="500" w:lineRule="atLeast"/>
        <w:ind w:firstLine="600"/>
        <w:divId w:val="112217436"/>
        <w:rPr>
          <w:rFonts w:hint="eastAsia"/>
          <w:sz w:val="30"/>
          <w:szCs w:val="30"/>
        </w:rPr>
      </w:pPr>
      <w:r>
        <w:rPr>
          <w:rFonts w:hint="eastAsia"/>
          <w:sz w:val="30"/>
          <w:szCs w:val="30"/>
        </w:rPr>
        <w:t>三、上诉人麦某艳犯受贿罪，判处有期徒刑一年六个月，并处罚金十万元（刑期从判决执行之日起计算。判决执行以前先行羁押的，羁押一日折抵刑期一日，即自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日止。罚金自本判决发生法律效力第二日起五日内向广州市白云区人民法院缴纳）。</w:t>
      </w:r>
    </w:p>
    <w:p w14:paraId="0279FC41" w14:textId="77777777" w:rsidR="00405420" w:rsidRDefault="00405420">
      <w:pPr>
        <w:spacing w:line="500" w:lineRule="atLeast"/>
        <w:ind w:firstLine="600"/>
        <w:divId w:val="1422138238"/>
        <w:rPr>
          <w:rFonts w:hint="eastAsia"/>
          <w:sz w:val="30"/>
          <w:szCs w:val="30"/>
        </w:rPr>
      </w:pPr>
      <w:r>
        <w:rPr>
          <w:rFonts w:hint="eastAsia"/>
          <w:sz w:val="30"/>
          <w:szCs w:val="30"/>
        </w:rPr>
        <w:t>本判决为终审判决。</w:t>
      </w:r>
    </w:p>
    <w:p w14:paraId="1CCEEA96" w14:textId="77777777" w:rsidR="00405420" w:rsidRDefault="00405420">
      <w:pPr>
        <w:spacing w:line="500" w:lineRule="atLeast"/>
        <w:jc w:val="right"/>
        <w:divId w:val="1057128222"/>
        <w:rPr>
          <w:rFonts w:hint="eastAsia"/>
          <w:sz w:val="30"/>
          <w:szCs w:val="30"/>
        </w:rPr>
      </w:pPr>
      <w:r>
        <w:rPr>
          <w:rFonts w:hint="eastAsia"/>
          <w:sz w:val="30"/>
          <w:szCs w:val="30"/>
        </w:rPr>
        <w:t>审判长　梁　敏</w:t>
      </w:r>
    </w:p>
    <w:p w14:paraId="490A2CF9" w14:textId="77777777" w:rsidR="00405420" w:rsidRDefault="00405420">
      <w:pPr>
        <w:spacing w:line="500" w:lineRule="atLeast"/>
        <w:jc w:val="right"/>
        <w:divId w:val="1102142614"/>
        <w:rPr>
          <w:rFonts w:hint="eastAsia"/>
          <w:sz w:val="30"/>
          <w:szCs w:val="30"/>
        </w:rPr>
      </w:pPr>
      <w:r>
        <w:rPr>
          <w:rFonts w:hint="eastAsia"/>
          <w:sz w:val="30"/>
          <w:szCs w:val="30"/>
        </w:rPr>
        <w:t>审判员　边　龙</w:t>
      </w:r>
    </w:p>
    <w:p w14:paraId="266C2AF2" w14:textId="77777777" w:rsidR="00405420" w:rsidRDefault="00405420">
      <w:pPr>
        <w:spacing w:line="500" w:lineRule="atLeast"/>
        <w:jc w:val="right"/>
        <w:divId w:val="360403342"/>
        <w:rPr>
          <w:rFonts w:hint="eastAsia"/>
          <w:sz w:val="30"/>
          <w:szCs w:val="30"/>
        </w:rPr>
      </w:pPr>
      <w:r>
        <w:rPr>
          <w:rFonts w:hint="eastAsia"/>
          <w:sz w:val="30"/>
          <w:szCs w:val="30"/>
        </w:rPr>
        <w:t>审判员　唐军国</w:t>
      </w:r>
    </w:p>
    <w:p w14:paraId="1EB83B44" w14:textId="77777777" w:rsidR="00405420" w:rsidRDefault="00405420">
      <w:pPr>
        <w:spacing w:line="500" w:lineRule="atLeast"/>
        <w:jc w:val="right"/>
        <w:divId w:val="1665008753"/>
        <w:rPr>
          <w:rFonts w:hint="eastAsia"/>
          <w:sz w:val="30"/>
          <w:szCs w:val="30"/>
        </w:rPr>
      </w:pPr>
      <w:r>
        <w:rPr>
          <w:rFonts w:hint="eastAsia"/>
          <w:sz w:val="30"/>
          <w:szCs w:val="30"/>
        </w:rPr>
        <w:t>二〇一九年六月二十六日</w:t>
      </w:r>
    </w:p>
    <w:p w14:paraId="1CC65FC5" w14:textId="77777777" w:rsidR="00405420" w:rsidRDefault="00405420">
      <w:pPr>
        <w:spacing w:line="500" w:lineRule="atLeast"/>
        <w:jc w:val="right"/>
        <w:divId w:val="2066485623"/>
        <w:rPr>
          <w:rFonts w:hint="eastAsia"/>
          <w:sz w:val="30"/>
          <w:szCs w:val="30"/>
        </w:rPr>
      </w:pPr>
      <w:r>
        <w:rPr>
          <w:rFonts w:hint="eastAsia"/>
          <w:sz w:val="30"/>
          <w:szCs w:val="30"/>
        </w:rPr>
        <w:t>书记员　陈小丹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8FD6" w14:textId="77777777" w:rsidR="00405420" w:rsidRDefault="00405420" w:rsidP="00405420">
      <w:pPr>
        <w:rPr>
          <w:rFonts w:hint="eastAsia"/>
        </w:rPr>
      </w:pPr>
      <w:r>
        <w:separator/>
      </w:r>
    </w:p>
  </w:endnote>
  <w:endnote w:type="continuationSeparator" w:id="0">
    <w:p w14:paraId="11FFFDA2" w14:textId="77777777" w:rsidR="00405420" w:rsidRDefault="00405420" w:rsidP="004054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4FA0" w14:textId="77777777" w:rsidR="00405420" w:rsidRDefault="00405420" w:rsidP="00405420">
      <w:pPr>
        <w:rPr>
          <w:rFonts w:hint="eastAsia"/>
        </w:rPr>
      </w:pPr>
      <w:r>
        <w:separator/>
      </w:r>
    </w:p>
  </w:footnote>
  <w:footnote w:type="continuationSeparator" w:id="0">
    <w:p w14:paraId="10031AC0" w14:textId="77777777" w:rsidR="00405420" w:rsidRDefault="00405420" w:rsidP="004054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5420"/>
    <w:rsid w:val="002A6721"/>
    <w:rsid w:val="00405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6BE8D"/>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5420"/>
    <w:pPr>
      <w:tabs>
        <w:tab w:val="center" w:pos="4153"/>
        <w:tab w:val="right" w:pos="8306"/>
      </w:tabs>
      <w:snapToGrid w:val="0"/>
      <w:jc w:val="center"/>
    </w:pPr>
    <w:rPr>
      <w:sz w:val="18"/>
      <w:szCs w:val="18"/>
    </w:rPr>
  </w:style>
  <w:style w:type="character" w:customStyle="1" w:styleId="a4">
    <w:name w:val="页眉 字符"/>
    <w:basedOn w:val="a0"/>
    <w:link w:val="a3"/>
    <w:uiPriority w:val="99"/>
    <w:rsid w:val="00405420"/>
    <w:rPr>
      <w:rFonts w:ascii="宋体" w:eastAsia="宋体" w:hAnsi="宋体" w:cs="宋体"/>
      <w:sz w:val="18"/>
      <w:szCs w:val="18"/>
    </w:rPr>
  </w:style>
  <w:style w:type="paragraph" w:styleId="a5">
    <w:name w:val="footer"/>
    <w:basedOn w:val="a"/>
    <w:link w:val="a6"/>
    <w:uiPriority w:val="99"/>
    <w:unhideWhenUsed/>
    <w:rsid w:val="00405420"/>
    <w:pPr>
      <w:tabs>
        <w:tab w:val="center" w:pos="4153"/>
        <w:tab w:val="right" w:pos="8306"/>
      </w:tabs>
      <w:snapToGrid w:val="0"/>
    </w:pPr>
    <w:rPr>
      <w:sz w:val="18"/>
      <w:szCs w:val="18"/>
    </w:rPr>
  </w:style>
  <w:style w:type="character" w:customStyle="1" w:styleId="a6">
    <w:name w:val="页脚 字符"/>
    <w:basedOn w:val="a0"/>
    <w:link w:val="a5"/>
    <w:uiPriority w:val="99"/>
    <w:rsid w:val="004054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7436">
      <w:marLeft w:val="0"/>
      <w:marRight w:val="0"/>
      <w:marTop w:val="10"/>
      <w:marBottom w:val="10"/>
      <w:divBdr>
        <w:top w:val="none" w:sz="0" w:space="0" w:color="auto"/>
        <w:left w:val="none" w:sz="0" w:space="0" w:color="auto"/>
        <w:bottom w:val="none" w:sz="0" w:space="0" w:color="auto"/>
        <w:right w:val="none" w:sz="0" w:space="0" w:color="auto"/>
      </w:divBdr>
    </w:div>
    <w:div w:id="291255975">
      <w:marLeft w:val="0"/>
      <w:marRight w:val="0"/>
      <w:marTop w:val="10"/>
      <w:marBottom w:val="10"/>
      <w:divBdr>
        <w:top w:val="none" w:sz="0" w:space="0" w:color="auto"/>
        <w:left w:val="none" w:sz="0" w:space="0" w:color="auto"/>
        <w:bottom w:val="none" w:sz="0" w:space="0" w:color="auto"/>
        <w:right w:val="none" w:sz="0" w:space="0" w:color="auto"/>
      </w:divBdr>
    </w:div>
    <w:div w:id="350493120">
      <w:marLeft w:val="0"/>
      <w:marRight w:val="0"/>
      <w:marTop w:val="10"/>
      <w:marBottom w:val="10"/>
      <w:divBdr>
        <w:top w:val="none" w:sz="0" w:space="0" w:color="auto"/>
        <w:left w:val="none" w:sz="0" w:space="0" w:color="auto"/>
        <w:bottom w:val="none" w:sz="0" w:space="0" w:color="auto"/>
        <w:right w:val="none" w:sz="0" w:space="0" w:color="auto"/>
      </w:divBdr>
    </w:div>
    <w:div w:id="355691015">
      <w:marLeft w:val="0"/>
      <w:marRight w:val="0"/>
      <w:marTop w:val="10"/>
      <w:marBottom w:val="10"/>
      <w:divBdr>
        <w:top w:val="none" w:sz="0" w:space="0" w:color="auto"/>
        <w:left w:val="none" w:sz="0" w:space="0" w:color="auto"/>
        <w:bottom w:val="none" w:sz="0" w:space="0" w:color="auto"/>
        <w:right w:val="none" w:sz="0" w:space="0" w:color="auto"/>
      </w:divBdr>
    </w:div>
    <w:div w:id="360403342">
      <w:marLeft w:val="0"/>
      <w:marRight w:val="720"/>
      <w:marTop w:val="10"/>
      <w:marBottom w:val="10"/>
      <w:divBdr>
        <w:top w:val="none" w:sz="0" w:space="0" w:color="auto"/>
        <w:left w:val="none" w:sz="0" w:space="0" w:color="auto"/>
        <w:bottom w:val="none" w:sz="0" w:space="0" w:color="auto"/>
        <w:right w:val="none" w:sz="0" w:space="0" w:color="auto"/>
      </w:divBdr>
    </w:div>
    <w:div w:id="379594629">
      <w:marLeft w:val="0"/>
      <w:marRight w:val="0"/>
      <w:marTop w:val="10"/>
      <w:marBottom w:val="10"/>
      <w:divBdr>
        <w:top w:val="none" w:sz="0" w:space="0" w:color="auto"/>
        <w:left w:val="none" w:sz="0" w:space="0" w:color="auto"/>
        <w:bottom w:val="none" w:sz="0" w:space="0" w:color="auto"/>
        <w:right w:val="none" w:sz="0" w:space="0" w:color="auto"/>
      </w:divBdr>
    </w:div>
    <w:div w:id="403525479">
      <w:marLeft w:val="0"/>
      <w:marRight w:val="0"/>
      <w:marTop w:val="10"/>
      <w:marBottom w:val="10"/>
      <w:divBdr>
        <w:top w:val="none" w:sz="0" w:space="0" w:color="auto"/>
        <w:left w:val="none" w:sz="0" w:space="0" w:color="auto"/>
        <w:bottom w:val="none" w:sz="0" w:space="0" w:color="auto"/>
        <w:right w:val="none" w:sz="0" w:space="0" w:color="auto"/>
      </w:divBdr>
    </w:div>
    <w:div w:id="467626411">
      <w:marLeft w:val="0"/>
      <w:marRight w:val="0"/>
      <w:marTop w:val="10"/>
      <w:marBottom w:val="10"/>
      <w:divBdr>
        <w:top w:val="none" w:sz="0" w:space="0" w:color="auto"/>
        <w:left w:val="none" w:sz="0" w:space="0" w:color="auto"/>
        <w:bottom w:val="none" w:sz="0" w:space="0" w:color="auto"/>
        <w:right w:val="none" w:sz="0" w:space="0" w:color="auto"/>
      </w:divBdr>
    </w:div>
    <w:div w:id="618529996">
      <w:marLeft w:val="0"/>
      <w:marRight w:val="0"/>
      <w:marTop w:val="10"/>
      <w:marBottom w:val="10"/>
      <w:divBdr>
        <w:top w:val="none" w:sz="0" w:space="0" w:color="auto"/>
        <w:left w:val="none" w:sz="0" w:space="0" w:color="auto"/>
        <w:bottom w:val="none" w:sz="0" w:space="0" w:color="auto"/>
        <w:right w:val="none" w:sz="0" w:space="0" w:color="auto"/>
      </w:divBdr>
    </w:div>
    <w:div w:id="662243982">
      <w:marLeft w:val="0"/>
      <w:marRight w:val="0"/>
      <w:marTop w:val="10"/>
      <w:marBottom w:val="10"/>
      <w:divBdr>
        <w:top w:val="none" w:sz="0" w:space="0" w:color="auto"/>
        <w:left w:val="none" w:sz="0" w:space="0" w:color="auto"/>
        <w:bottom w:val="none" w:sz="0" w:space="0" w:color="auto"/>
        <w:right w:val="none" w:sz="0" w:space="0" w:color="auto"/>
      </w:divBdr>
    </w:div>
    <w:div w:id="698967049">
      <w:marLeft w:val="0"/>
      <w:marRight w:val="0"/>
      <w:marTop w:val="10"/>
      <w:marBottom w:val="10"/>
      <w:divBdr>
        <w:top w:val="none" w:sz="0" w:space="0" w:color="auto"/>
        <w:left w:val="none" w:sz="0" w:space="0" w:color="auto"/>
        <w:bottom w:val="none" w:sz="0" w:space="0" w:color="auto"/>
        <w:right w:val="none" w:sz="0" w:space="0" w:color="auto"/>
      </w:divBdr>
    </w:div>
    <w:div w:id="717508677">
      <w:marLeft w:val="0"/>
      <w:marRight w:val="0"/>
      <w:marTop w:val="10"/>
      <w:marBottom w:val="10"/>
      <w:divBdr>
        <w:top w:val="none" w:sz="0" w:space="0" w:color="auto"/>
        <w:left w:val="none" w:sz="0" w:space="0" w:color="auto"/>
        <w:bottom w:val="none" w:sz="0" w:space="0" w:color="auto"/>
        <w:right w:val="none" w:sz="0" w:space="0" w:color="auto"/>
      </w:divBdr>
    </w:div>
    <w:div w:id="780684993">
      <w:marLeft w:val="0"/>
      <w:marRight w:val="0"/>
      <w:marTop w:val="10"/>
      <w:marBottom w:val="10"/>
      <w:divBdr>
        <w:top w:val="none" w:sz="0" w:space="0" w:color="auto"/>
        <w:left w:val="none" w:sz="0" w:space="0" w:color="auto"/>
        <w:bottom w:val="none" w:sz="0" w:space="0" w:color="auto"/>
        <w:right w:val="none" w:sz="0" w:space="0" w:color="auto"/>
      </w:divBdr>
    </w:div>
    <w:div w:id="850872250">
      <w:marLeft w:val="0"/>
      <w:marRight w:val="0"/>
      <w:marTop w:val="10"/>
      <w:marBottom w:val="10"/>
      <w:divBdr>
        <w:top w:val="none" w:sz="0" w:space="0" w:color="auto"/>
        <w:left w:val="none" w:sz="0" w:space="0" w:color="auto"/>
        <w:bottom w:val="none" w:sz="0" w:space="0" w:color="auto"/>
        <w:right w:val="none" w:sz="0" w:space="0" w:color="auto"/>
      </w:divBdr>
    </w:div>
    <w:div w:id="910429430">
      <w:marLeft w:val="0"/>
      <w:marRight w:val="0"/>
      <w:marTop w:val="10"/>
      <w:marBottom w:val="10"/>
      <w:divBdr>
        <w:top w:val="none" w:sz="0" w:space="0" w:color="auto"/>
        <w:left w:val="none" w:sz="0" w:space="0" w:color="auto"/>
        <w:bottom w:val="none" w:sz="0" w:space="0" w:color="auto"/>
        <w:right w:val="none" w:sz="0" w:space="0" w:color="auto"/>
      </w:divBdr>
    </w:div>
    <w:div w:id="981614730">
      <w:marLeft w:val="0"/>
      <w:marRight w:val="0"/>
      <w:marTop w:val="10"/>
      <w:marBottom w:val="10"/>
      <w:divBdr>
        <w:top w:val="none" w:sz="0" w:space="0" w:color="auto"/>
        <w:left w:val="none" w:sz="0" w:space="0" w:color="auto"/>
        <w:bottom w:val="none" w:sz="0" w:space="0" w:color="auto"/>
        <w:right w:val="none" w:sz="0" w:space="0" w:color="auto"/>
      </w:divBdr>
    </w:div>
    <w:div w:id="989140637">
      <w:marLeft w:val="0"/>
      <w:marRight w:val="0"/>
      <w:marTop w:val="10"/>
      <w:marBottom w:val="10"/>
      <w:divBdr>
        <w:top w:val="none" w:sz="0" w:space="0" w:color="auto"/>
        <w:left w:val="none" w:sz="0" w:space="0" w:color="auto"/>
        <w:bottom w:val="none" w:sz="0" w:space="0" w:color="auto"/>
        <w:right w:val="none" w:sz="0" w:space="0" w:color="auto"/>
      </w:divBdr>
    </w:div>
    <w:div w:id="1057128222">
      <w:marLeft w:val="0"/>
      <w:marRight w:val="720"/>
      <w:marTop w:val="10"/>
      <w:marBottom w:val="10"/>
      <w:divBdr>
        <w:top w:val="none" w:sz="0" w:space="0" w:color="auto"/>
        <w:left w:val="none" w:sz="0" w:space="0" w:color="auto"/>
        <w:bottom w:val="none" w:sz="0" w:space="0" w:color="auto"/>
        <w:right w:val="none" w:sz="0" w:space="0" w:color="auto"/>
      </w:divBdr>
    </w:div>
    <w:div w:id="1102142614">
      <w:marLeft w:val="0"/>
      <w:marRight w:val="720"/>
      <w:marTop w:val="10"/>
      <w:marBottom w:val="10"/>
      <w:divBdr>
        <w:top w:val="none" w:sz="0" w:space="0" w:color="auto"/>
        <w:left w:val="none" w:sz="0" w:space="0" w:color="auto"/>
        <w:bottom w:val="none" w:sz="0" w:space="0" w:color="auto"/>
        <w:right w:val="none" w:sz="0" w:space="0" w:color="auto"/>
      </w:divBdr>
    </w:div>
    <w:div w:id="1109349333">
      <w:marLeft w:val="0"/>
      <w:marRight w:val="0"/>
      <w:marTop w:val="10"/>
      <w:marBottom w:val="10"/>
      <w:divBdr>
        <w:top w:val="none" w:sz="0" w:space="0" w:color="auto"/>
        <w:left w:val="none" w:sz="0" w:space="0" w:color="auto"/>
        <w:bottom w:val="none" w:sz="0" w:space="0" w:color="auto"/>
        <w:right w:val="none" w:sz="0" w:space="0" w:color="auto"/>
      </w:divBdr>
    </w:div>
    <w:div w:id="1331064544">
      <w:marLeft w:val="0"/>
      <w:marRight w:val="0"/>
      <w:marTop w:val="10"/>
      <w:marBottom w:val="10"/>
      <w:divBdr>
        <w:top w:val="none" w:sz="0" w:space="0" w:color="auto"/>
        <w:left w:val="none" w:sz="0" w:space="0" w:color="auto"/>
        <w:bottom w:val="none" w:sz="0" w:space="0" w:color="auto"/>
        <w:right w:val="none" w:sz="0" w:space="0" w:color="auto"/>
      </w:divBdr>
    </w:div>
    <w:div w:id="1422138238">
      <w:marLeft w:val="0"/>
      <w:marRight w:val="0"/>
      <w:marTop w:val="10"/>
      <w:marBottom w:val="10"/>
      <w:divBdr>
        <w:top w:val="none" w:sz="0" w:space="0" w:color="auto"/>
        <w:left w:val="none" w:sz="0" w:space="0" w:color="auto"/>
        <w:bottom w:val="none" w:sz="0" w:space="0" w:color="auto"/>
        <w:right w:val="none" w:sz="0" w:space="0" w:color="auto"/>
      </w:divBdr>
    </w:div>
    <w:div w:id="1525754736">
      <w:marLeft w:val="0"/>
      <w:marRight w:val="0"/>
      <w:marTop w:val="10"/>
      <w:marBottom w:val="10"/>
      <w:divBdr>
        <w:top w:val="none" w:sz="0" w:space="0" w:color="auto"/>
        <w:left w:val="none" w:sz="0" w:space="0" w:color="auto"/>
        <w:bottom w:val="none" w:sz="0" w:space="0" w:color="auto"/>
        <w:right w:val="none" w:sz="0" w:space="0" w:color="auto"/>
      </w:divBdr>
    </w:div>
    <w:div w:id="1654289478">
      <w:marLeft w:val="0"/>
      <w:marRight w:val="0"/>
      <w:marTop w:val="10"/>
      <w:marBottom w:val="10"/>
      <w:divBdr>
        <w:top w:val="none" w:sz="0" w:space="0" w:color="auto"/>
        <w:left w:val="none" w:sz="0" w:space="0" w:color="auto"/>
        <w:bottom w:val="none" w:sz="0" w:space="0" w:color="auto"/>
        <w:right w:val="none" w:sz="0" w:space="0" w:color="auto"/>
      </w:divBdr>
    </w:div>
    <w:div w:id="1665008753">
      <w:marLeft w:val="0"/>
      <w:marRight w:val="720"/>
      <w:marTop w:val="10"/>
      <w:marBottom w:val="10"/>
      <w:divBdr>
        <w:top w:val="none" w:sz="0" w:space="0" w:color="auto"/>
        <w:left w:val="none" w:sz="0" w:space="0" w:color="auto"/>
        <w:bottom w:val="none" w:sz="0" w:space="0" w:color="auto"/>
        <w:right w:val="none" w:sz="0" w:space="0" w:color="auto"/>
      </w:divBdr>
    </w:div>
    <w:div w:id="1704015530">
      <w:marLeft w:val="0"/>
      <w:marRight w:val="0"/>
      <w:marTop w:val="10"/>
      <w:marBottom w:val="10"/>
      <w:divBdr>
        <w:top w:val="none" w:sz="0" w:space="0" w:color="auto"/>
        <w:left w:val="none" w:sz="0" w:space="0" w:color="auto"/>
        <w:bottom w:val="none" w:sz="0" w:space="0" w:color="auto"/>
        <w:right w:val="none" w:sz="0" w:space="0" w:color="auto"/>
      </w:divBdr>
    </w:div>
    <w:div w:id="1745029998">
      <w:marLeft w:val="0"/>
      <w:marRight w:val="0"/>
      <w:marTop w:val="10"/>
      <w:marBottom w:val="10"/>
      <w:divBdr>
        <w:top w:val="none" w:sz="0" w:space="0" w:color="auto"/>
        <w:left w:val="none" w:sz="0" w:space="0" w:color="auto"/>
        <w:bottom w:val="none" w:sz="0" w:space="0" w:color="auto"/>
        <w:right w:val="none" w:sz="0" w:space="0" w:color="auto"/>
      </w:divBdr>
    </w:div>
    <w:div w:id="1910076055">
      <w:marLeft w:val="0"/>
      <w:marRight w:val="0"/>
      <w:marTop w:val="10"/>
      <w:marBottom w:val="10"/>
      <w:divBdr>
        <w:top w:val="none" w:sz="0" w:space="0" w:color="auto"/>
        <w:left w:val="none" w:sz="0" w:space="0" w:color="auto"/>
        <w:bottom w:val="none" w:sz="0" w:space="0" w:color="auto"/>
        <w:right w:val="none" w:sz="0" w:space="0" w:color="auto"/>
      </w:divBdr>
    </w:div>
    <w:div w:id="2038504664">
      <w:marLeft w:val="0"/>
      <w:marRight w:val="0"/>
      <w:marTop w:val="10"/>
      <w:marBottom w:val="10"/>
      <w:divBdr>
        <w:top w:val="none" w:sz="0" w:space="0" w:color="auto"/>
        <w:left w:val="none" w:sz="0" w:space="0" w:color="auto"/>
        <w:bottom w:val="none" w:sz="0" w:space="0" w:color="auto"/>
        <w:right w:val="none" w:sz="0" w:space="0" w:color="auto"/>
      </w:divBdr>
    </w:div>
    <w:div w:id="2066485623">
      <w:marLeft w:val="0"/>
      <w:marRight w:val="720"/>
      <w:marTop w:val="10"/>
      <w:marBottom w:val="10"/>
      <w:divBdr>
        <w:top w:val="none" w:sz="0" w:space="0" w:color="auto"/>
        <w:left w:val="none" w:sz="0" w:space="0" w:color="auto"/>
        <w:bottom w:val="none" w:sz="0" w:space="0" w:color="auto"/>
        <w:right w:val="none" w:sz="0" w:space="0" w:color="auto"/>
      </w:divBdr>
    </w:div>
    <w:div w:id="2079786102">
      <w:marLeft w:val="0"/>
      <w:marRight w:val="0"/>
      <w:marTop w:val="10"/>
      <w:marBottom w:val="10"/>
      <w:divBdr>
        <w:top w:val="none" w:sz="0" w:space="0" w:color="auto"/>
        <w:left w:val="none" w:sz="0" w:space="0" w:color="auto"/>
        <w:bottom w:val="none" w:sz="0" w:space="0" w:color="auto"/>
        <w:right w:val="none" w:sz="0" w:space="0" w:color="auto"/>
      </w:divBdr>
    </w:div>
    <w:div w:id="21264594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