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2885" w:rsidRDefault="00932885">
      <w:pPr>
        <w:spacing w:line="500" w:lineRule="atLeast"/>
        <w:jc w:val="center"/>
        <w:divId w:val="130948059"/>
        <w:rPr>
          <w:rFonts w:ascii="黑体" w:eastAsia="黑体" w:hAnsi="黑体"/>
          <w:sz w:val="36"/>
          <w:szCs w:val="36"/>
        </w:rPr>
      </w:pPr>
      <w:r>
        <w:rPr>
          <w:rFonts w:ascii="黑体" w:eastAsia="黑体" w:hAnsi="黑体" w:hint="eastAsia"/>
          <w:sz w:val="36"/>
          <w:szCs w:val="36"/>
        </w:rPr>
        <w:t>广东省广州市番禺区人民法院</w:t>
      </w:r>
    </w:p>
    <w:p w:rsidR="00932885" w:rsidRDefault="00932885">
      <w:pPr>
        <w:spacing w:line="500" w:lineRule="atLeast"/>
        <w:jc w:val="center"/>
        <w:divId w:val="9064999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32885" w:rsidRDefault="00932885">
      <w:pPr>
        <w:spacing w:line="500" w:lineRule="atLeast"/>
        <w:jc w:val="right"/>
        <w:divId w:val="1651641819"/>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1475</w:t>
      </w:r>
      <w:r>
        <w:rPr>
          <w:rFonts w:hint="eastAsia"/>
          <w:sz w:val="30"/>
          <w:szCs w:val="30"/>
        </w:rPr>
        <w:t>号</w:t>
      </w:r>
    </w:p>
    <w:p w:rsidR="00932885" w:rsidRDefault="00932885">
      <w:pPr>
        <w:spacing w:line="500" w:lineRule="atLeast"/>
        <w:ind w:firstLine="600"/>
        <w:divId w:val="593394210"/>
        <w:rPr>
          <w:rFonts w:hint="eastAsia"/>
          <w:sz w:val="30"/>
          <w:szCs w:val="30"/>
        </w:rPr>
      </w:pPr>
      <w:r>
        <w:rPr>
          <w:rFonts w:hint="eastAsia"/>
          <w:sz w:val="30"/>
          <w:szCs w:val="30"/>
        </w:rPr>
        <w:t>公诉机关广州市番禺区人民检察院。</w:t>
      </w:r>
    </w:p>
    <w:p w:rsidR="00932885" w:rsidRDefault="00932885">
      <w:pPr>
        <w:spacing w:line="500" w:lineRule="atLeast"/>
        <w:ind w:firstLine="600"/>
        <w:divId w:val="269122691"/>
        <w:rPr>
          <w:rFonts w:hint="eastAsia"/>
          <w:sz w:val="30"/>
          <w:szCs w:val="30"/>
        </w:rPr>
      </w:pPr>
      <w:r>
        <w:rPr>
          <w:rFonts w:hint="eastAsia"/>
          <w:sz w:val="30"/>
          <w:szCs w:val="30"/>
        </w:rPr>
        <w:t>被告人黄某甲，男，</w:t>
      </w:r>
      <w:r>
        <w:rPr>
          <w:rFonts w:hint="eastAsia"/>
          <w:sz w:val="30"/>
          <w:szCs w:val="30"/>
        </w:rPr>
        <w:t>1971</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日出生，汉族，文化程度大专，系广州市番禺区钟村街城市建设服务中心办事员，住广东省广州市番禺区。因本案于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日被羁押，同日被刑事拘留，同月</w:t>
      </w:r>
      <w:r>
        <w:rPr>
          <w:rFonts w:hint="eastAsia"/>
          <w:sz w:val="30"/>
          <w:szCs w:val="30"/>
        </w:rPr>
        <w:t>23</w:t>
      </w:r>
      <w:r>
        <w:rPr>
          <w:rFonts w:hint="eastAsia"/>
          <w:sz w:val="30"/>
          <w:szCs w:val="30"/>
        </w:rPr>
        <w:t>日被取保候审。</w:t>
      </w:r>
    </w:p>
    <w:p w:rsidR="00932885" w:rsidRDefault="00932885">
      <w:pPr>
        <w:spacing w:line="500" w:lineRule="atLeast"/>
        <w:ind w:firstLine="600"/>
        <w:divId w:val="1492677686"/>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1466</w:t>
      </w:r>
      <w:r>
        <w:rPr>
          <w:rFonts w:hint="eastAsia"/>
          <w:sz w:val="30"/>
          <w:szCs w:val="30"/>
        </w:rPr>
        <w:t>号起诉书指控被告人黄某甲犯受贿罪，于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日向本院提起公诉。本院依法组成合议庭，公开开庭审理了本案。广州市番禺区人民检察院代理检察员王朝霞出庭支持公诉，被告人黄某甲到庭参加了诉讼。现已审理终结。</w:t>
      </w:r>
    </w:p>
    <w:p w:rsidR="00932885" w:rsidRDefault="00932885">
      <w:pPr>
        <w:spacing w:line="500" w:lineRule="atLeast"/>
        <w:ind w:firstLine="600"/>
        <w:divId w:val="1518696476"/>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被告人黄某甲在本区钟村街征地拆迁办公室担任办事员期间，利用负责“广州市东新高速公路工程”征地拆迁工作的职务便利，在参与征收卢某（另案处理）位于本区钟村街石壁一村的鱼塘的过程中，将卢某在测量详查后加建的鱼塘保温棚（即“塑料膜温室及遮光网”）纳入征地补偿范围，让其获取相关补偿款，并收受了卢某贿送的人民币</w:t>
      </w:r>
      <w:r>
        <w:rPr>
          <w:rFonts w:hint="eastAsia"/>
          <w:sz w:val="30"/>
          <w:szCs w:val="30"/>
        </w:rPr>
        <w:t>3</w:t>
      </w:r>
      <w:r>
        <w:rPr>
          <w:rFonts w:hint="eastAsia"/>
          <w:sz w:val="30"/>
          <w:szCs w:val="30"/>
        </w:rPr>
        <w:t>万元。</w:t>
      </w:r>
    </w:p>
    <w:p w:rsidR="00932885" w:rsidRDefault="00932885">
      <w:pPr>
        <w:spacing w:line="500" w:lineRule="atLeast"/>
        <w:ind w:firstLine="600"/>
        <w:divId w:val="1810317720"/>
        <w:rPr>
          <w:rFonts w:hint="eastAsia"/>
          <w:sz w:val="30"/>
          <w:szCs w:val="30"/>
        </w:rPr>
      </w:pPr>
      <w:r>
        <w:rPr>
          <w:rFonts w:hint="eastAsia"/>
          <w:sz w:val="30"/>
          <w:szCs w:val="30"/>
        </w:rPr>
        <w:t>2009</w:t>
      </w:r>
      <w:r>
        <w:rPr>
          <w:rFonts w:hint="eastAsia"/>
          <w:sz w:val="30"/>
          <w:szCs w:val="30"/>
        </w:rPr>
        <w:t>年，被告人黄某甲在本区钟村街征地拆迁办公室担任办事员期间，利用负责“汉溪大道新客站联络线工程”征地拆迁工作的职务便利，在参与征收卢某位于本区钟村街石壁一村的鱼塘的过程中，将卢某位于征地红线范围外的</w:t>
      </w:r>
      <w:r>
        <w:rPr>
          <w:rFonts w:hint="eastAsia"/>
          <w:sz w:val="30"/>
          <w:szCs w:val="30"/>
        </w:rPr>
        <w:t>1947.84</w:t>
      </w:r>
      <w:r>
        <w:rPr>
          <w:rFonts w:hint="eastAsia"/>
          <w:sz w:val="30"/>
          <w:szCs w:val="30"/>
        </w:rPr>
        <w:t>平方米砖瓦房纳入征地补偿范围，让其获取相关补偿款，并收受了卢某贿送的人民币</w:t>
      </w:r>
      <w:r>
        <w:rPr>
          <w:rFonts w:hint="eastAsia"/>
          <w:sz w:val="30"/>
          <w:szCs w:val="30"/>
        </w:rPr>
        <w:t>3.5</w:t>
      </w:r>
      <w:r>
        <w:rPr>
          <w:rFonts w:hint="eastAsia"/>
          <w:sz w:val="30"/>
          <w:szCs w:val="30"/>
        </w:rPr>
        <w:t>万元。公诉机关认为，被告人黄某甲无视国家法律，身为国家工作人员，利用职务便利，非法收受他</w:t>
      </w:r>
      <w:r>
        <w:rPr>
          <w:rFonts w:hint="eastAsia"/>
          <w:sz w:val="30"/>
          <w:szCs w:val="30"/>
        </w:rPr>
        <w:lastRenderedPageBreak/>
        <w:t>人财物，为他人谋取利益，其行为触犯了《中华人民共和国刑法》第三百八十五条之规定，犯罪事实清楚，证据确实、充分，应以受贿罪追究其刑事责任。被告人黄某甲犯罪以后自动投案，如实供述自己的罪行，根据《中华人民共和国刑法》第六十七条第一款之规定，是自首，可以从轻或者减轻处罚。提请本院依法判处。</w:t>
      </w:r>
    </w:p>
    <w:p w:rsidR="00932885" w:rsidRDefault="00932885">
      <w:pPr>
        <w:spacing w:line="500" w:lineRule="atLeast"/>
        <w:ind w:firstLine="600"/>
        <w:divId w:val="2079664529"/>
        <w:rPr>
          <w:rFonts w:hint="eastAsia"/>
          <w:sz w:val="30"/>
          <w:szCs w:val="30"/>
        </w:rPr>
      </w:pPr>
      <w:r>
        <w:rPr>
          <w:rFonts w:hint="eastAsia"/>
          <w:sz w:val="30"/>
          <w:szCs w:val="30"/>
        </w:rPr>
        <w:t>被告人黄某甲承认控罪。</w:t>
      </w:r>
    </w:p>
    <w:p w:rsidR="00932885" w:rsidRDefault="00932885">
      <w:pPr>
        <w:spacing w:line="500" w:lineRule="atLeast"/>
        <w:ind w:firstLine="600"/>
        <w:divId w:val="621155692"/>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被告人黄某甲在本区钟村街征地拆迁办公室担任办事员期间，利用负责“广州市东新高速公路工程”征地拆迁工作的职务便利，在参与征收卢某（另案处理）位于本区钟村街石壁一村的鱼塘的过程中，将卢某在测量详查后加建的鱼塘保温棚（即“塑料膜温室及遮光网”）纳入征地补偿范围，让其获取相关补偿款，并收受了卢某贿送的人民币</w:t>
      </w:r>
      <w:r>
        <w:rPr>
          <w:rFonts w:hint="eastAsia"/>
          <w:sz w:val="30"/>
          <w:szCs w:val="30"/>
        </w:rPr>
        <w:t>3</w:t>
      </w:r>
      <w:r>
        <w:rPr>
          <w:rFonts w:hint="eastAsia"/>
          <w:sz w:val="30"/>
          <w:szCs w:val="30"/>
        </w:rPr>
        <w:t>万元。</w:t>
      </w:r>
    </w:p>
    <w:p w:rsidR="00932885" w:rsidRDefault="00932885">
      <w:pPr>
        <w:spacing w:line="500" w:lineRule="atLeast"/>
        <w:ind w:firstLine="600"/>
        <w:divId w:val="1902591157"/>
        <w:rPr>
          <w:rFonts w:hint="eastAsia"/>
          <w:sz w:val="30"/>
          <w:szCs w:val="30"/>
        </w:rPr>
      </w:pPr>
      <w:r>
        <w:rPr>
          <w:rFonts w:hint="eastAsia"/>
          <w:sz w:val="30"/>
          <w:szCs w:val="30"/>
        </w:rPr>
        <w:t>2009</w:t>
      </w:r>
      <w:r>
        <w:rPr>
          <w:rFonts w:hint="eastAsia"/>
          <w:sz w:val="30"/>
          <w:szCs w:val="30"/>
        </w:rPr>
        <w:t>年，被告人黄某甲在本区钟村街征地拆迁办公室担任办事员期间，利用负责“汉溪大道新客站联络线工程”征地拆迁工作的职务便利，在参与征收卢某位于本区钟村街石壁一村的鱼塘的过程中，将卢某位于征地红线范围外的</w:t>
      </w:r>
      <w:r>
        <w:rPr>
          <w:rFonts w:hint="eastAsia"/>
          <w:sz w:val="30"/>
          <w:szCs w:val="30"/>
        </w:rPr>
        <w:t>1947.84</w:t>
      </w:r>
      <w:r>
        <w:rPr>
          <w:rFonts w:hint="eastAsia"/>
          <w:sz w:val="30"/>
          <w:szCs w:val="30"/>
        </w:rPr>
        <w:t>平方米砖瓦房纳入征地补偿范围，让其获取相关补偿款，并收受了卢某贿送的人民币</w:t>
      </w:r>
      <w:r>
        <w:rPr>
          <w:rFonts w:hint="eastAsia"/>
          <w:sz w:val="30"/>
          <w:szCs w:val="30"/>
        </w:rPr>
        <w:t>3.5</w:t>
      </w:r>
      <w:r>
        <w:rPr>
          <w:rFonts w:hint="eastAsia"/>
          <w:sz w:val="30"/>
          <w:szCs w:val="30"/>
        </w:rPr>
        <w:t>万元。</w:t>
      </w:r>
    </w:p>
    <w:p w:rsidR="00932885" w:rsidRDefault="00932885">
      <w:pPr>
        <w:spacing w:line="500" w:lineRule="atLeast"/>
        <w:ind w:firstLine="600"/>
        <w:divId w:val="293567009"/>
        <w:rPr>
          <w:rFonts w:hint="eastAsia"/>
          <w:sz w:val="30"/>
          <w:szCs w:val="30"/>
        </w:rPr>
      </w:pPr>
      <w:r>
        <w:rPr>
          <w:rFonts w:hint="eastAsia"/>
          <w:sz w:val="30"/>
          <w:szCs w:val="30"/>
        </w:rPr>
        <w:t>案发后，被告人黄某甲退出赃款人民币</w:t>
      </w:r>
      <w:r>
        <w:rPr>
          <w:rFonts w:hint="eastAsia"/>
          <w:sz w:val="30"/>
          <w:szCs w:val="30"/>
        </w:rPr>
        <w:t>65000</w:t>
      </w:r>
      <w:r>
        <w:rPr>
          <w:rFonts w:hint="eastAsia"/>
          <w:sz w:val="30"/>
          <w:szCs w:val="30"/>
        </w:rPr>
        <w:t>元。</w:t>
      </w:r>
    </w:p>
    <w:p w:rsidR="00932885" w:rsidRDefault="00932885">
      <w:pPr>
        <w:spacing w:line="500" w:lineRule="atLeast"/>
        <w:ind w:firstLine="600"/>
        <w:divId w:val="2029939693"/>
        <w:rPr>
          <w:rFonts w:hint="eastAsia"/>
          <w:sz w:val="30"/>
          <w:szCs w:val="30"/>
        </w:rPr>
      </w:pPr>
      <w:r>
        <w:rPr>
          <w:rFonts w:hint="eastAsia"/>
          <w:sz w:val="30"/>
          <w:szCs w:val="30"/>
        </w:rPr>
        <w:t>上述事实，被告人黄某甲在庭审中亦无异议，并有证人卢某、黄某乙、郭某的证言，被告人黄某甲的供述，职务证明，个人简历，广州市东新高速公路工程搬迁损失赔偿协议，广州市东新高速公路工程补偿明细表，东新高速公路工程青苗补偿及附着物赔偿协议，广州东新高速公路补偿明细表，汉溪大道新客站联络线工程青苗及地上附着物补偿协议和汉溪大道西延线工程青苗及地上附着物补偿协议，证人郭某关于广州铁路枢纽新广州站配套设施工程青苗及地上附着物补偿协议及补偿明细表，广州市番禺区人民政府文件，证明，破案经过等证据证实，足以认定。</w:t>
      </w:r>
    </w:p>
    <w:p w:rsidR="00932885" w:rsidRDefault="00932885">
      <w:pPr>
        <w:spacing w:line="500" w:lineRule="atLeast"/>
        <w:ind w:firstLine="600"/>
        <w:divId w:val="2131513473"/>
        <w:rPr>
          <w:rFonts w:hint="eastAsia"/>
          <w:sz w:val="30"/>
          <w:szCs w:val="30"/>
        </w:rPr>
      </w:pPr>
      <w:r>
        <w:rPr>
          <w:rFonts w:hint="eastAsia"/>
          <w:sz w:val="30"/>
          <w:szCs w:val="30"/>
        </w:rPr>
        <w:t>本院认为，被告人黄某甲身为国家工作人员，无视国家法律，利用职务上的便利，非法收受他人财物，为他人谋取利益，其行为已构成受贿罪。依法应当对其适用“五年以上有期徒刑”的量刑幅度予以处罚。鉴于被告人黄某甲在犯罪以后自动投案，如实供述自己的罪行，是自首，并且退出全部赃款，可以减轻处罚。本院根据前述法定刑幅度、法定的量刑情节、酌定的量刑情节，并综合考虑被告人犯罪的具体事实、认罪态度等因素决定对被告人减轻处罚并适用缓刑。依照《中华人民共和国刑法》第三百八十五条、第三百八十六条、第三百八十三条、第六十四条、第六十七条第一款、第七十二条、第七十三条和《最高人民法院关于处理自首和立功具体应用法律若干问题的解释》第一条、第三条的规定，判决如下：</w:t>
      </w:r>
    </w:p>
    <w:p w:rsidR="00932885" w:rsidRDefault="00932885">
      <w:pPr>
        <w:spacing w:line="500" w:lineRule="atLeast"/>
        <w:ind w:firstLine="600"/>
        <w:divId w:val="147014595"/>
        <w:rPr>
          <w:rFonts w:hint="eastAsia"/>
          <w:sz w:val="30"/>
          <w:szCs w:val="30"/>
        </w:rPr>
      </w:pPr>
      <w:r>
        <w:rPr>
          <w:rFonts w:hint="eastAsia"/>
          <w:sz w:val="30"/>
          <w:szCs w:val="30"/>
        </w:rPr>
        <w:t>一、被告人黄某甲犯受贿罪，判处有期徒刑二年六个月，缓刑三年，并处没收财产二万元（缓刑考验期限从判决确定之日起计算，没收的财产在判决发生法律效力之日起十日内交纳，上缴国库）。</w:t>
      </w:r>
    </w:p>
    <w:p w:rsidR="00932885" w:rsidRDefault="00932885">
      <w:pPr>
        <w:spacing w:line="500" w:lineRule="atLeast"/>
        <w:ind w:firstLine="600"/>
        <w:divId w:val="481045041"/>
        <w:rPr>
          <w:rFonts w:hint="eastAsia"/>
          <w:sz w:val="30"/>
          <w:szCs w:val="30"/>
        </w:rPr>
      </w:pPr>
      <w:r>
        <w:rPr>
          <w:rFonts w:hint="eastAsia"/>
          <w:sz w:val="30"/>
          <w:szCs w:val="30"/>
        </w:rPr>
        <w:t>二、被告人黄某甲退出的赃款人民币</w:t>
      </w:r>
      <w:r>
        <w:rPr>
          <w:rFonts w:hint="eastAsia"/>
          <w:sz w:val="30"/>
          <w:szCs w:val="30"/>
        </w:rPr>
        <w:t>65000</w:t>
      </w:r>
      <w:r>
        <w:rPr>
          <w:rFonts w:hint="eastAsia"/>
          <w:sz w:val="30"/>
          <w:szCs w:val="30"/>
        </w:rPr>
        <w:t>元，予以没收上缴国库（该款现存于广州市番禺区人民检察院）。</w:t>
      </w:r>
    </w:p>
    <w:p w:rsidR="00932885" w:rsidRDefault="00932885">
      <w:pPr>
        <w:spacing w:line="500" w:lineRule="atLeast"/>
        <w:ind w:firstLine="600"/>
        <w:divId w:val="530534443"/>
        <w:rPr>
          <w:rFonts w:hint="eastAsia"/>
          <w:sz w:val="30"/>
          <w:szCs w:val="30"/>
        </w:rPr>
      </w:pPr>
      <w:r>
        <w:rPr>
          <w:rFonts w:hint="eastAsia"/>
          <w:sz w:val="30"/>
          <w:szCs w:val="30"/>
        </w:rPr>
        <w:t>如不服本判决，可在接到判决书的第二日起十日内，通过本院或者直接向广东省广州市中级人民法院提出上诉。书面上诉应交上诉状正本一份，副本二份。</w:t>
      </w:r>
    </w:p>
    <w:p w:rsidR="00932885" w:rsidRDefault="00932885">
      <w:pPr>
        <w:spacing w:line="500" w:lineRule="atLeast"/>
        <w:jc w:val="right"/>
        <w:divId w:val="662247828"/>
        <w:rPr>
          <w:rFonts w:hint="eastAsia"/>
          <w:sz w:val="30"/>
          <w:szCs w:val="30"/>
        </w:rPr>
      </w:pPr>
      <w:r>
        <w:rPr>
          <w:rFonts w:hint="eastAsia"/>
          <w:sz w:val="30"/>
          <w:szCs w:val="30"/>
        </w:rPr>
        <w:t>审　判　长　　张志文</w:t>
      </w:r>
    </w:p>
    <w:p w:rsidR="00932885" w:rsidRDefault="00932885">
      <w:pPr>
        <w:spacing w:line="500" w:lineRule="atLeast"/>
        <w:jc w:val="right"/>
        <w:divId w:val="1577517387"/>
        <w:rPr>
          <w:rFonts w:hint="eastAsia"/>
          <w:sz w:val="30"/>
          <w:szCs w:val="30"/>
        </w:rPr>
      </w:pPr>
      <w:r>
        <w:rPr>
          <w:rFonts w:hint="eastAsia"/>
          <w:sz w:val="30"/>
          <w:szCs w:val="30"/>
        </w:rPr>
        <w:t>人民陪审员　　周建军</w:t>
      </w:r>
    </w:p>
    <w:p w:rsidR="00932885" w:rsidRDefault="00932885">
      <w:pPr>
        <w:spacing w:line="500" w:lineRule="atLeast"/>
        <w:jc w:val="right"/>
        <w:divId w:val="786775594"/>
        <w:rPr>
          <w:rFonts w:hint="eastAsia"/>
          <w:sz w:val="30"/>
          <w:szCs w:val="30"/>
        </w:rPr>
      </w:pPr>
      <w:r>
        <w:rPr>
          <w:rFonts w:hint="eastAsia"/>
          <w:sz w:val="30"/>
          <w:szCs w:val="30"/>
        </w:rPr>
        <w:t>人民陪审员　　郑梓能</w:t>
      </w:r>
    </w:p>
    <w:p w:rsidR="00932885" w:rsidRDefault="00932885">
      <w:pPr>
        <w:spacing w:line="500" w:lineRule="atLeast"/>
        <w:jc w:val="right"/>
        <w:divId w:val="1664576986"/>
        <w:rPr>
          <w:rFonts w:hint="eastAsia"/>
          <w:sz w:val="30"/>
          <w:szCs w:val="30"/>
        </w:rPr>
      </w:pPr>
      <w:r>
        <w:rPr>
          <w:rFonts w:hint="eastAsia"/>
          <w:sz w:val="30"/>
          <w:szCs w:val="30"/>
        </w:rPr>
        <w:t>二〇一四年十二月十日</w:t>
      </w:r>
    </w:p>
    <w:p w:rsidR="00932885" w:rsidRDefault="00932885">
      <w:pPr>
        <w:spacing w:line="500" w:lineRule="atLeast"/>
        <w:jc w:val="right"/>
        <w:divId w:val="1566405492"/>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2885" w:rsidRDefault="00932885" w:rsidP="00932885">
      <w:pPr>
        <w:rPr>
          <w:rFonts w:hint="eastAsia"/>
        </w:rPr>
      </w:pPr>
      <w:r>
        <w:separator/>
      </w:r>
    </w:p>
  </w:endnote>
  <w:endnote w:type="continuationSeparator" w:id="0">
    <w:p w:rsidR="00932885" w:rsidRDefault="00932885" w:rsidP="009328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2885" w:rsidRDefault="00932885" w:rsidP="00932885">
      <w:pPr>
        <w:rPr>
          <w:rFonts w:hint="eastAsia"/>
        </w:rPr>
      </w:pPr>
      <w:r>
        <w:separator/>
      </w:r>
    </w:p>
  </w:footnote>
  <w:footnote w:type="continuationSeparator" w:id="0">
    <w:p w:rsidR="00932885" w:rsidRDefault="00932885" w:rsidP="009328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2885"/>
    <w:rsid w:val="002A6721"/>
    <w:rsid w:val="009328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2885"/>
    <w:pPr>
      <w:tabs>
        <w:tab w:val="center" w:pos="4153"/>
        <w:tab w:val="right" w:pos="8306"/>
      </w:tabs>
      <w:snapToGrid w:val="0"/>
      <w:jc w:val="center"/>
    </w:pPr>
    <w:rPr>
      <w:sz w:val="18"/>
      <w:szCs w:val="18"/>
    </w:rPr>
  </w:style>
  <w:style w:type="character" w:customStyle="1" w:styleId="a4">
    <w:name w:val="页眉 字符"/>
    <w:basedOn w:val="a0"/>
    <w:link w:val="a3"/>
    <w:uiPriority w:val="99"/>
    <w:rsid w:val="00932885"/>
    <w:rPr>
      <w:rFonts w:ascii="宋体" w:eastAsia="宋体" w:hAnsi="宋体" w:cs="宋体"/>
      <w:sz w:val="18"/>
      <w:szCs w:val="18"/>
    </w:rPr>
  </w:style>
  <w:style w:type="paragraph" w:styleId="a5">
    <w:name w:val="footer"/>
    <w:basedOn w:val="a"/>
    <w:link w:val="a6"/>
    <w:uiPriority w:val="99"/>
    <w:unhideWhenUsed/>
    <w:rsid w:val="00932885"/>
    <w:pPr>
      <w:tabs>
        <w:tab w:val="center" w:pos="4153"/>
        <w:tab w:val="right" w:pos="8306"/>
      </w:tabs>
      <w:snapToGrid w:val="0"/>
    </w:pPr>
    <w:rPr>
      <w:sz w:val="18"/>
      <w:szCs w:val="18"/>
    </w:rPr>
  </w:style>
  <w:style w:type="character" w:customStyle="1" w:styleId="a6">
    <w:name w:val="页脚 字符"/>
    <w:basedOn w:val="a0"/>
    <w:link w:val="a5"/>
    <w:uiPriority w:val="99"/>
    <w:rsid w:val="009328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48059">
      <w:marLeft w:val="0"/>
      <w:marRight w:val="0"/>
      <w:marTop w:val="10"/>
      <w:marBottom w:val="10"/>
      <w:divBdr>
        <w:top w:val="none" w:sz="0" w:space="0" w:color="auto"/>
        <w:left w:val="none" w:sz="0" w:space="0" w:color="auto"/>
        <w:bottom w:val="none" w:sz="0" w:space="0" w:color="auto"/>
        <w:right w:val="none" w:sz="0" w:space="0" w:color="auto"/>
      </w:divBdr>
    </w:div>
    <w:div w:id="147014595">
      <w:marLeft w:val="0"/>
      <w:marRight w:val="0"/>
      <w:marTop w:val="10"/>
      <w:marBottom w:val="10"/>
      <w:divBdr>
        <w:top w:val="none" w:sz="0" w:space="0" w:color="auto"/>
        <w:left w:val="none" w:sz="0" w:space="0" w:color="auto"/>
        <w:bottom w:val="none" w:sz="0" w:space="0" w:color="auto"/>
        <w:right w:val="none" w:sz="0" w:space="0" w:color="auto"/>
      </w:divBdr>
    </w:div>
    <w:div w:id="269122691">
      <w:marLeft w:val="0"/>
      <w:marRight w:val="0"/>
      <w:marTop w:val="10"/>
      <w:marBottom w:val="10"/>
      <w:divBdr>
        <w:top w:val="none" w:sz="0" w:space="0" w:color="auto"/>
        <w:left w:val="none" w:sz="0" w:space="0" w:color="auto"/>
        <w:bottom w:val="none" w:sz="0" w:space="0" w:color="auto"/>
        <w:right w:val="none" w:sz="0" w:space="0" w:color="auto"/>
      </w:divBdr>
    </w:div>
    <w:div w:id="293567009">
      <w:marLeft w:val="0"/>
      <w:marRight w:val="0"/>
      <w:marTop w:val="10"/>
      <w:marBottom w:val="10"/>
      <w:divBdr>
        <w:top w:val="none" w:sz="0" w:space="0" w:color="auto"/>
        <w:left w:val="none" w:sz="0" w:space="0" w:color="auto"/>
        <w:bottom w:val="none" w:sz="0" w:space="0" w:color="auto"/>
        <w:right w:val="none" w:sz="0" w:space="0" w:color="auto"/>
      </w:divBdr>
    </w:div>
    <w:div w:id="481045041">
      <w:marLeft w:val="0"/>
      <w:marRight w:val="0"/>
      <w:marTop w:val="10"/>
      <w:marBottom w:val="10"/>
      <w:divBdr>
        <w:top w:val="none" w:sz="0" w:space="0" w:color="auto"/>
        <w:left w:val="none" w:sz="0" w:space="0" w:color="auto"/>
        <w:bottom w:val="none" w:sz="0" w:space="0" w:color="auto"/>
        <w:right w:val="none" w:sz="0" w:space="0" w:color="auto"/>
      </w:divBdr>
    </w:div>
    <w:div w:id="530534443">
      <w:marLeft w:val="0"/>
      <w:marRight w:val="0"/>
      <w:marTop w:val="10"/>
      <w:marBottom w:val="10"/>
      <w:divBdr>
        <w:top w:val="none" w:sz="0" w:space="0" w:color="auto"/>
        <w:left w:val="none" w:sz="0" w:space="0" w:color="auto"/>
        <w:bottom w:val="none" w:sz="0" w:space="0" w:color="auto"/>
        <w:right w:val="none" w:sz="0" w:space="0" w:color="auto"/>
      </w:divBdr>
    </w:div>
    <w:div w:id="593394210">
      <w:marLeft w:val="0"/>
      <w:marRight w:val="0"/>
      <w:marTop w:val="10"/>
      <w:marBottom w:val="10"/>
      <w:divBdr>
        <w:top w:val="none" w:sz="0" w:space="0" w:color="auto"/>
        <w:left w:val="none" w:sz="0" w:space="0" w:color="auto"/>
        <w:bottom w:val="none" w:sz="0" w:space="0" w:color="auto"/>
        <w:right w:val="none" w:sz="0" w:space="0" w:color="auto"/>
      </w:divBdr>
    </w:div>
    <w:div w:id="621155692">
      <w:marLeft w:val="0"/>
      <w:marRight w:val="0"/>
      <w:marTop w:val="10"/>
      <w:marBottom w:val="10"/>
      <w:divBdr>
        <w:top w:val="none" w:sz="0" w:space="0" w:color="auto"/>
        <w:left w:val="none" w:sz="0" w:space="0" w:color="auto"/>
        <w:bottom w:val="none" w:sz="0" w:space="0" w:color="auto"/>
        <w:right w:val="none" w:sz="0" w:space="0" w:color="auto"/>
      </w:divBdr>
    </w:div>
    <w:div w:id="662247828">
      <w:marLeft w:val="0"/>
      <w:marRight w:val="720"/>
      <w:marTop w:val="10"/>
      <w:marBottom w:val="10"/>
      <w:divBdr>
        <w:top w:val="none" w:sz="0" w:space="0" w:color="auto"/>
        <w:left w:val="none" w:sz="0" w:space="0" w:color="auto"/>
        <w:bottom w:val="none" w:sz="0" w:space="0" w:color="auto"/>
        <w:right w:val="none" w:sz="0" w:space="0" w:color="auto"/>
      </w:divBdr>
    </w:div>
    <w:div w:id="786775594">
      <w:marLeft w:val="0"/>
      <w:marRight w:val="720"/>
      <w:marTop w:val="10"/>
      <w:marBottom w:val="10"/>
      <w:divBdr>
        <w:top w:val="none" w:sz="0" w:space="0" w:color="auto"/>
        <w:left w:val="none" w:sz="0" w:space="0" w:color="auto"/>
        <w:bottom w:val="none" w:sz="0" w:space="0" w:color="auto"/>
        <w:right w:val="none" w:sz="0" w:space="0" w:color="auto"/>
      </w:divBdr>
    </w:div>
    <w:div w:id="906499980">
      <w:marLeft w:val="0"/>
      <w:marRight w:val="0"/>
      <w:marTop w:val="10"/>
      <w:marBottom w:val="10"/>
      <w:divBdr>
        <w:top w:val="none" w:sz="0" w:space="0" w:color="auto"/>
        <w:left w:val="none" w:sz="0" w:space="0" w:color="auto"/>
        <w:bottom w:val="none" w:sz="0" w:space="0" w:color="auto"/>
        <w:right w:val="none" w:sz="0" w:space="0" w:color="auto"/>
      </w:divBdr>
    </w:div>
    <w:div w:id="1492677686">
      <w:marLeft w:val="0"/>
      <w:marRight w:val="0"/>
      <w:marTop w:val="10"/>
      <w:marBottom w:val="10"/>
      <w:divBdr>
        <w:top w:val="none" w:sz="0" w:space="0" w:color="auto"/>
        <w:left w:val="none" w:sz="0" w:space="0" w:color="auto"/>
        <w:bottom w:val="none" w:sz="0" w:space="0" w:color="auto"/>
        <w:right w:val="none" w:sz="0" w:space="0" w:color="auto"/>
      </w:divBdr>
    </w:div>
    <w:div w:id="1518696476">
      <w:marLeft w:val="0"/>
      <w:marRight w:val="0"/>
      <w:marTop w:val="10"/>
      <w:marBottom w:val="10"/>
      <w:divBdr>
        <w:top w:val="none" w:sz="0" w:space="0" w:color="auto"/>
        <w:left w:val="none" w:sz="0" w:space="0" w:color="auto"/>
        <w:bottom w:val="none" w:sz="0" w:space="0" w:color="auto"/>
        <w:right w:val="none" w:sz="0" w:space="0" w:color="auto"/>
      </w:divBdr>
    </w:div>
    <w:div w:id="1566405492">
      <w:marLeft w:val="0"/>
      <w:marRight w:val="720"/>
      <w:marTop w:val="10"/>
      <w:marBottom w:val="10"/>
      <w:divBdr>
        <w:top w:val="none" w:sz="0" w:space="0" w:color="auto"/>
        <w:left w:val="none" w:sz="0" w:space="0" w:color="auto"/>
        <w:bottom w:val="none" w:sz="0" w:space="0" w:color="auto"/>
        <w:right w:val="none" w:sz="0" w:space="0" w:color="auto"/>
      </w:divBdr>
    </w:div>
    <w:div w:id="1577517387">
      <w:marLeft w:val="0"/>
      <w:marRight w:val="720"/>
      <w:marTop w:val="10"/>
      <w:marBottom w:val="10"/>
      <w:divBdr>
        <w:top w:val="none" w:sz="0" w:space="0" w:color="auto"/>
        <w:left w:val="none" w:sz="0" w:space="0" w:color="auto"/>
        <w:bottom w:val="none" w:sz="0" w:space="0" w:color="auto"/>
        <w:right w:val="none" w:sz="0" w:space="0" w:color="auto"/>
      </w:divBdr>
    </w:div>
    <w:div w:id="1651641819">
      <w:marLeft w:val="0"/>
      <w:marRight w:val="0"/>
      <w:marTop w:val="10"/>
      <w:marBottom w:val="10"/>
      <w:divBdr>
        <w:top w:val="none" w:sz="0" w:space="0" w:color="auto"/>
        <w:left w:val="none" w:sz="0" w:space="0" w:color="auto"/>
        <w:bottom w:val="none" w:sz="0" w:space="0" w:color="auto"/>
        <w:right w:val="none" w:sz="0" w:space="0" w:color="auto"/>
      </w:divBdr>
    </w:div>
    <w:div w:id="1664576986">
      <w:marLeft w:val="0"/>
      <w:marRight w:val="720"/>
      <w:marTop w:val="10"/>
      <w:marBottom w:val="10"/>
      <w:divBdr>
        <w:top w:val="none" w:sz="0" w:space="0" w:color="auto"/>
        <w:left w:val="none" w:sz="0" w:space="0" w:color="auto"/>
        <w:bottom w:val="none" w:sz="0" w:space="0" w:color="auto"/>
        <w:right w:val="none" w:sz="0" w:space="0" w:color="auto"/>
      </w:divBdr>
    </w:div>
    <w:div w:id="1810317720">
      <w:marLeft w:val="0"/>
      <w:marRight w:val="0"/>
      <w:marTop w:val="10"/>
      <w:marBottom w:val="10"/>
      <w:divBdr>
        <w:top w:val="none" w:sz="0" w:space="0" w:color="auto"/>
        <w:left w:val="none" w:sz="0" w:space="0" w:color="auto"/>
        <w:bottom w:val="none" w:sz="0" w:space="0" w:color="auto"/>
        <w:right w:val="none" w:sz="0" w:space="0" w:color="auto"/>
      </w:divBdr>
    </w:div>
    <w:div w:id="1902591157">
      <w:marLeft w:val="0"/>
      <w:marRight w:val="0"/>
      <w:marTop w:val="10"/>
      <w:marBottom w:val="10"/>
      <w:divBdr>
        <w:top w:val="none" w:sz="0" w:space="0" w:color="auto"/>
        <w:left w:val="none" w:sz="0" w:space="0" w:color="auto"/>
        <w:bottom w:val="none" w:sz="0" w:space="0" w:color="auto"/>
        <w:right w:val="none" w:sz="0" w:space="0" w:color="auto"/>
      </w:divBdr>
    </w:div>
    <w:div w:id="2029939693">
      <w:marLeft w:val="0"/>
      <w:marRight w:val="0"/>
      <w:marTop w:val="10"/>
      <w:marBottom w:val="10"/>
      <w:divBdr>
        <w:top w:val="none" w:sz="0" w:space="0" w:color="auto"/>
        <w:left w:val="none" w:sz="0" w:space="0" w:color="auto"/>
        <w:bottom w:val="none" w:sz="0" w:space="0" w:color="auto"/>
        <w:right w:val="none" w:sz="0" w:space="0" w:color="auto"/>
      </w:divBdr>
    </w:div>
    <w:div w:id="2079664529">
      <w:marLeft w:val="0"/>
      <w:marRight w:val="0"/>
      <w:marTop w:val="10"/>
      <w:marBottom w:val="10"/>
      <w:divBdr>
        <w:top w:val="none" w:sz="0" w:space="0" w:color="auto"/>
        <w:left w:val="none" w:sz="0" w:space="0" w:color="auto"/>
        <w:bottom w:val="none" w:sz="0" w:space="0" w:color="auto"/>
        <w:right w:val="none" w:sz="0" w:space="0" w:color="auto"/>
      </w:divBdr>
    </w:div>
    <w:div w:id="21315134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1688</Characters>
  <Application>Microsoft Office Word</Application>
  <DocSecurity>0</DocSecurity>
  <Lines>14</Lines>
  <Paragraphs>3</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