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A415C" w:rsidRDefault="00FA415C">
      <w:pPr>
        <w:spacing w:line="500" w:lineRule="atLeast"/>
        <w:jc w:val="center"/>
        <w:divId w:val="357779461"/>
        <w:rPr>
          <w:rFonts w:ascii="黑体" w:eastAsia="黑体" w:hAnsi="黑体"/>
          <w:sz w:val="36"/>
          <w:szCs w:val="36"/>
        </w:rPr>
      </w:pPr>
      <w:r>
        <w:rPr>
          <w:rFonts w:ascii="黑体" w:eastAsia="黑体" w:hAnsi="黑体" w:hint="eastAsia"/>
          <w:sz w:val="36"/>
          <w:szCs w:val="36"/>
        </w:rPr>
        <w:t>广东省广州市番禺区人民法院</w:t>
      </w:r>
    </w:p>
    <w:p w:rsidR="00FA415C" w:rsidRDefault="00FA415C">
      <w:pPr>
        <w:spacing w:line="500" w:lineRule="atLeast"/>
        <w:jc w:val="center"/>
        <w:divId w:val="213798343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A415C" w:rsidRDefault="00FA415C">
      <w:pPr>
        <w:spacing w:line="500" w:lineRule="atLeast"/>
        <w:jc w:val="right"/>
        <w:divId w:val="724186215"/>
        <w:rPr>
          <w:rFonts w:hint="eastAsia"/>
          <w:sz w:val="30"/>
          <w:szCs w:val="30"/>
        </w:rPr>
      </w:pPr>
      <w:r>
        <w:rPr>
          <w:rFonts w:hint="eastAsia"/>
          <w:sz w:val="30"/>
          <w:szCs w:val="30"/>
        </w:rPr>
        <w:t>（</w:t>
      </w:r>
      <w:r>
        <w:rPr>
          <w:rFonts w:hint="eastAsia"/>
          <w:sz w:val="30"/>
          <w:szCs w:val="30"/>
        </w:rPr>
        <w:t>2015</w:t>
      </w:r>
      <w:r>
        <w:rPr>
          <w:rFonts w:hint="eastAsia"/>
          <w:sz w:val="30"/>
          <w:szCs w:val="30"/>
        </w:rPr>
        <w:t>）穗番法刑初字第</w:t>
      </w:r>
      <w:r>
        <w:rPr>
          <w:rFonts w:hint="eastAsia"/>
          <w:sz w:val="30"/>
          <w:szCs w:val="30"/>
        </w:rPr>
        <w:t>30</w:t>
      </w:r>
      <w:r>
        <w:rPr>
          <w:rFonts w:hint="eastAsia"/>
          <w:sz w:val="30"/>
          <w:szCs w:val="30"/>
        </w:rPr>
        <w:t>号</w:t>
      </w:r>
    </w:p>
    <w:p w:rsidR="00FA415C" w:rsidRDefault="00FA415C">
      <w:pPr>
        <w:spacing w:line="500" w:lineRule="atLeast"/>
        <w:ind w:firstLine="600"/>
        <w:divId w:val="1505129081"/>
        <w:rPr>
          <w:rFonts w:hint="eastAsia"/>
          <w:sz w:val="30"/>
          <w:szCs w:val="30"/>
        </w:rPr>
      </w:pPr>
      <w:r>
        <w:rPr>
          <w:rFonts w:hint="eastAsia"/>
          <w:sz w:val="30"/>
          <w:szCs w:val="30"/>
        </w:rPr>
        <w:t>公诉机关广州市番禺区人民检察院。</w:t>
      </w:r>
    </w:p>
    <w:p w:rsidR="00FA415C" w:rsidRDefault="00FA415C">
      <w:pPr>
        <w:spacing w:line="500" w:lineRule="atLeast"/>
        <w:ind w:firstLine="600"/>
        <w:divId w:val="1033309548"/>
        <w:rPr>
          <w:rFonts w:hint="eastAsia"/>
          <w:sz w:val="30"/>
          <w:szCs w:val="30"/>
        </w:rPr>
      </w:pPr>
      <w:r>
        <w:rPr>
          <w:rFonts w:hint="eastAsia"/>
          <w:sz w:val="30"/>
          <w:szCs w:val="30"/>
        </w:rPr>
        <w:t>被告人黄某，男，</w:t>
      </w:r>
      <w:r>
        <w:rPr>
          <w:rFonts w:hint="eastAsia"/>
          <w:sz w:val="30"/>
          <w:szCs w:val="30"/>
        </w:rPr>
        <w:t>1967</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日出生，汉族，文化程度初中，住广州市番禺区。因本案于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日被羁押，次日被刑事拘留，同月</w:t>
      </w:r>
      <w:r>
        <w:rPr>
          <w:rFonts w:hint="eastAsia"/>
          <w:sz w:val="30"/>
          <w:szCs w:val="30"/>
        </w:rPr>
        <w:t>13</w:t>
      </w:r>
      <w:r>
        <w:rPr>
          <w:rFonts w:hint="eastAsia"/>
          <w:sz w:val="30"/>
          <w:szCs w:val="30"/>
        </w:rPr>
        <w:t>日被取保候审。</w:t>
      </w:r>
    </w:p>
    <w:p w:rsidR="00FA415C" w:rsidRDefault="00FA415C">
      <w:pPr>
        <w:spacing w:line="500" w:lineRule="atLeast"/>
        <w:ind w:firstLine="600"/>
        <w:divId w:val="1759407078"/>
        <w:rPr>
          <w:rFonts w:hint="eastAsia"/>
          <w:sz w:val="30"/>
          <w:szCs w:val="30"/>
        </w:rPr>
      </w:pPr>
      <w:r>
        <w:rPr>
          <w:rFonts w:hint="eastAsia"/>
          <w:sz w:val="30"/>
          <w:szCs w:val="30"/>
        </w:rPr>
        <w:t>广州市番禺区人民检察院以番检公刑诉（</w:t>
      </w:r>
      <w:r>
        <w:rPr>
          <w:rFonts w:hint="eastAsia"/>
          <w:sz w:val="30"/>
          <w:szCs w:val="30"/>
        </w:rPr>
        <w:t>2014</w:t>
      </w:r>
      <w:r>
        <w:rPr>
          <w:rFonts w:hint="eastAsia"/>
          <w:sz w:val="30"/>
          <w:szCs w:val="30"/>
        </w:rPr>
        <w:t>）</w:t>
      </w:r>
      <w:r>
        <w:rPr>
          <w:rFonts w:hint="eastAsia"/>
          <w:sz w:val="30"/>
          <w:szCs w:val="30"/>
        </w:rPr>
        <w:t>1898</w:t>
      </w:r>
      <w:r>
        <w:rPr>
          <w:rFonts w:hint="eastAsia"/>
          <w:sz w:val="30"/>
          <w:szCs w:val="30"/>
        </w:rPr>
        <w:t>号起诉书指控被告人黄某犯行贿罪，于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日向本院提起公诉，建议本院适用简易程序进行审理。本院于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日决定适用普通程序，依法组成合议庭，公开开庭审理了本案。广州市番禺区人民检察院指派代理检察员王朝霞出庭支持公诉，被告人黄某到庭参加了诉讼。现已审理终结。</w:t>
      </w:r>
    </w:p>
    <w:p w:rsidR="00FA415C" w:rsidRDefault="00FA415C">
      <w:pPr>
        <w:spacing w:line="500" w:lineRule="atLeast"/>
        <w:ind w:firstLine="600"/>
        <w:divId w:val="1954744848"/>
        <w:rPr>
          <w:rFonts w:hint="eastAsia"/>
          <w:sz w:val="30"/>
          <w:szCs w:val="30"/>
        </w:rPr>
      </w:pPr>
      <w:r>
        <w:rPr>
          <w:rFonts w:hint="eastAsia"/>
          <w:sz w:val="30"/>
          <w:szCs w:val="30"/>
        </w:rPr>
        <w:t>广州市番禺区人民检察院指控，</w:t>
      </w:r>
      <w:r>
        <w:rPr>
          <w:rFonts w:hint="eastAsia"/>
          <w:sz w:val="30"/>
          <w:szCs w:val="30"/>
        </w:rPr>
        <w:t>2011</w:t>
      </w:r>
      <w:r>
        <w:rPr>
          <w:rFonts w:hint="eastAsia"/>
          <w:sz w:val="30"/>
          <w:szCs w:val="30"/>
        </w:rPr>
        <w:t>年年底，被告人黄某与郭某全（已判决）合谋后，在办理郭某全在本区石壁街石壁一村所租赁土地的青苗补偿及地上附着物赔偿事宜中，为了谋取不正当利益，共同贿送给本区石壁街石壁一村的村委会主任区某中（另案处理）人民币</w:t>
      </w:r>
      <w:r>
        <w:rPr>
          <w:rFonts w:hint="eastAsia"/>
          <w:sz w:val="30"/>
          <w:szCs w:val="30"/>
        </w:rPr>
        <w:t>10</w:t>
      </w:r>
      <w:r>
        <w:rPr>
          <w:rFonts w:hint="eastAsia"/>
          <w:sz w:val="30"/>
          <w:szCs w:val="30"/>
        </w:rPr>
        <w:t>万元。公诉机关并就其指控的事实向本院提供了证人证言、书证材料、被告人供述等证据。公诉机关认为，被告人黄某为谋取不正当利益，给予国家工作人员以财物，其行为已触犯了《中华人民共和国刑法》第三百八十九条第一款、第三百九十条，犯罪事实清楚，证据确实、充分，应当以行贿罪追究其刑事责任。被告人黄某犯罪以后自动投案，如实供述自己的罪行，根据《中华人民共和国刑法》第六十七条第一款之规定，是自首，可以从轻或者减轻处罚。被告人黄某在追诉前主动交代行贿行为，根据《中华人民共和国</w:t>
      </w:r>
      <w:r>
        <w:rPr>
          <w:rFonts w:hint="eastAsia"/>
          <w:sz w:val="30"/>
          <w:szCs w:val="30"/>
        </w:rPr>
        <w:lastRenderedPageBreak/>
        <w:t>刑法》第三百九十条第二款之规定，可以减轻处罚。提请本院依法判处。</w:t>
      </w:r>
    </w:p>
    <w:p w:rsidR="00FA415C" w:rsidRDefault="00FA415C">
      <w:pPr>
        <w:spacing w:line="500" w:lineRule="atLeast"/>
        <w:ind w:firstLine="600"/>
        <w:divId w:val="574436240"/>
        <w:rPr>
          <w:rFonts w:hint="eastAsia"/>
          <w:sz w:val="30"/>
          <w:szCs w:val="30"/>
        </w:rPr>
      </w:pPr>
      <w:r>
        <w:rPr>
          <w:rFonts w:hint="eastAsia"/>
          <w:sz w:val="30"/>
          <w:szCs w:val="30"/>
        </w:rPr>
        <w:t>被告人黄某对公诉机关指控的犯罪事实及罪名均不持异议。</w:t>
      </w:r>
    </w:p>
    <w:p w:rsidR="00FA415C" w:rsidRDefault="00FA415C">
      <w:pPr>
        <w:spacing w:line="500" w:lineRule="atLeast"/>
        <w:ind w:firstLine="600"/>
        <w:divId w:val="646008002"/>
        <w:rPr>
          <w:rFonts w:hint="eastAsia"/>
          <w:sz w:val="30"/>
          <w:szCs w:val="30"/>
        </w:rPr>
      </w:pPr>
      <w:r>
        <w:rPr>
          <w:rFonts w:hint="eastAsia"/>
          <w:sz w:val="30"/>
          <w:szCs w:val="30"/>
        </w:rPr>
        <w:t>经审理查明，</w:t>
      </w:r>
      <w:r>
        <w:rPr>
          <w:rFonts w:hint="eastAsia"/>
          <w:sz w:val="30"/>
          <w:szCs w:val="30"/>
        </w:rPr>
        <w:t>2011</w:t>
      </w:r>
      <w:r>
        <w:rPr>
          <w:rFonts w:hint="eastAsia"/>
          <w:sz w:val="30"/>
          <w:szCs w:val="30"/>
        </w:rPr>
        <w:t>年年底，被告人黄某与郭某全（已判决）合谋后，在办理郭某全在本区石壁街石壁一村所租赁土地的青苗补偿及地上附着物赔偿事宜中，为了谋取不正当利益，共同贿送给本区石壁街石壁一村的村委会主任区某中（已判决）人民币</w:t>
      </w:r>
      <w:r>
        <w:rPr>
          <w:rFonts w:hint="eastAsia"/>
          <w:sz w:val="30"/>
          <w:szCs w:val="30"/>
        </w:rPr>
        <w:t>10</w:t>
      </w:r>
      <w:r>
        <w:rPr>
          <w:rFonts w:hint="eastAsia"/>
          <w:sz w:val="30"/>
          <w:szCs w:val="30"/>
        </w:rPr>
        <w:t>万元。</w:t>
      </w:r>
    </w:p>
    <w:p w:rsidR="00FA415C" w:rsidRDefault="00FA415C">
      <w:pPr>
        <w:spacing w:line="500" w:lineRule="atLeast"/>
        <w:ind w:firstLine="600"/>
        <w:divId w:val="1385443698"/>
        <w:rPr>
          <w:rFonts w:hint="eastAsia"/>
          <w:sz w:val="30"/>
          <w:szCs w:val="30"/>
        </w:rPr>
      </w:pPr>
      <w:r>
        <w:rPr>
          <w:rFonts w:hint="eastAsia"/>
          <w:sz w:val="30"/>
          <w:szCs w:val="30"/>
        </w:rPr>
        <w:t>另查，涉案人区某中因上述犯罪事实于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日被本院以非国家工作人员受贿罪被定罪判刑且已生效。</w:t>
      </w:r>
    </w:p>
    <w:p w:rsidR="00FA415C" w:rsidRDefault="00FA415C">
      <w:pPr>
        <w:spacing w:line="500" w:lineRule="atLeast"/>
        <w:ind w:firstLine="600"/>
        <w:divId w:val="1849900449"/>
        <w:rPr>
          <w:rFonts w:hint="eastAsia"/>
          <w:sz w:val="30"/>
          <w:szCs w:val="30"/>
        </w:rPr>
      </w:pPr>
      <w:r>
        <w:rPr>
          <w:rFonts w:hint="eastAsia"/>
          <w:sz w:val="30"/>
          <w:szCs w:val="30"/>
        </w:rPr>
        <w:t>上述事实，被告人黄某在开庭审理过程中无异议，且受贿人区某中的证言，同案人郭某全的证言，受贿人个人简历、任职证明，涉案的青苗补偿协议，破案经过，被告人黄某的供述，本院（</w:t>
      </w:r>
      <w:r>
        <w:rPr>
          <w:rFonts w:hint="eastAsia"/>
          <w:sz w:val="30"/>
          <w:szCs w:val="30"/>
        </w:rPr>
        <w:t>2015</w:t>
      </w:r>
      <w:r>
        <w:rPr>
          <w:rFonts w:hint="eastAsia"/>
          <w:sz w:val="30"/>
          <w:szCs w:val="30"/>
        </w:rPr>
        <w:t>）穗番法刑初字第</w:t>
      </w:r>
      <w:r>
        <w:rPr>
          <w:rFonts w:hint="eastAsia"/>
          <w:sz w:val="30"/>
          <w:szCs w:val="30"/>
        </w:rPr>
        <w:t>22</w:t>
      </w:r>
      <w:r>
        <w:rPr>
          <w:rFonts w:hint="eastAsia"/>
          <w:sz w:val="30"/>
          <w:szCs w:val="30"/>
        </w:rPr>
        <w:t>号刑事判决书等证据证实，足以认定。</w:t>
      </w:r>
    </w:p>
    <w:p w:rsidR="00FA415C" w:rsidRDefault="00FA415C">
      <w:pPr>
        <w:spacing w:line="500" w:lineRule="atLeast"/>
        <w:ind w:firstLine="600"/>
        <w:divId w:val="1619948850"/>
        <w:rPr>
          <w:rFonts w:hint="eastAsia"/>
          <w:sz w:val="30"/>
          <w:szCs w:val="30"/>
        </w:rPr>
      </w:pPr>
      <w:r>
        <w:rPr>
          <w:rFonts w:hint="eastAsia"/>
          <w:sz w:val="30"/>
          <w:szCs w:val="30"/>
        </w:rPr>
        <w:t>公诉机关指控被告人黄某的上述行为构成行贿罪。经查，在上述事实中，区某中时任石壁街石壁一村党支部书记、村委会主任期间，接受在石壁一村租用土地经营花木场的郭某全及黄某的请托，为郭某全提高青苗补偿价格疏通关系及劝服闹事的村民。其后，区某中找当时在石壁街拆迁办的工作人员区某新、区某德帮忙。区某新、区某德利用职务便利，以违规修改数据方式，帮助郭某全提高青苗补偿款。事后，黄某与郭某全贿送区某中人民币</w:t>
      </w:r>
      <w:r>
        <w:rPr>
          <w:rFonts w:hint="eastAsia"/>
          <w:sz w:val="30"/>
          <w:szCs w:val="30"/>
        </w:rPr>
        <w:t>10</w:t>
      </w:r>
      <w:r>
        <w:rPr>
          <w:rFonts w:hint="eastAsia"/>
          <w:sz w:val="30"/>
          <w:szCs w:val="30"/>
        </w:rPr>
        <w:t>万元。涉案的赔偿协议由郭某全与街道办事处签署、相关的款项也是直接打入郭某全的私人帐户，石壁一村的村委会及相关管理人员无权对该款项进行管理或干涉。区某中上述协调、疏通关系的行为并不属于村基层组织管理人员协助政府从事行政管理工作，不能认定为从事公务。由于区某中不具有国家工作人员的主体身份，其收受贿赂的行为应定性为非国家工作人员受贿。与之对应，被告人黄某的行贿行为应构成对非国家工作人员行贿罪。公诉机关指控的罪名不当，本院予以纠正。</w:t>
      </w:r>
    </w:p>
    <w:p w:rsidR="00FA415C" w:rsidRDefault="00FA415C">
      <w:pPr>
        <w:spacing w:line="500" w:lineRule="atLeast"/>
        <w:ind w:firstLine="600"/>
        <w:divId w:val="988946252"/>
        <w:rPr>
          <w:rFonts w:hint="eastAsia"/>
          <w:sz w:val="30"/>
          <w:szCs w:val="30"/>
        </w:rPr>
      </w:pPr>
      <w:r>
        <w:rPr>
          <w:rFonts w:hint="eastAsia"/>
          <w:sz w:val="30"/>
          <w:szCs w:val="30"/>
        </w:rPr>
        <w:t>本院认为，被告人黄某无视国家法律，为谋取不正当利益，给予基层组织管理人员以钱财，数额较大，其行为已构成对非国家工作人员行贿罪，依法应当对其适用“三年以下的有期徒刑或拘役”的量刑幅度予以处罚。公诉机关指控被告人黄某的犯罪事实清楚，证据确实充分，唯指控罪名不当，本院予以纠正。鉴于被告人黄某在被追诉前主动交待行贿行为，可以减轻处罚并适用缓刑。本院根据前述法定刑幅度、法定或酌定的量刑情节，并综合考虑被告人作案的具体事实、认罪态度等因素确定宣告刑。依照《中华人民共和国刑法》第一百六十四条、第七十二条、第七十三条的规定，判决如下：</w:t>
      </w:r>
    </w:p>
    <w:p w:rsidR="00FA415C" w:rsidRDefault="00FA415C">
      <w:pPr>
        <w:spacing w:line="500" w:lineRule="atLeast"/>
        <w:ind w:firstLine="600"/>
        <w:divId w:val="1206992652"/>
        <w:rPr>
          <w:rFonts w:hint="eastAsia"/>
          <w:sz w:val="30"/>
          <w:szCs w:val="30"/>
        </w:rPr>
      </w:pPr>
      <w:r>
        <w:rPr>
          <w:rFonts w:hint="eastAsia"/>
          <w:sz w:val="30"/>
          <w:szCs w:val="30"/>
        </w:rPr>
        <w:t>被告人黄某犯对非国家工作人员行贿罪，判处有期徒刑七个月，缓刑一年（缓刑考验期限，从判决确定之日起计算）。</w:t>
      </w:r>
    </w:p>
    <w:p w:rsidR="00FA415C" w:rsidRDefault="00FA415C">
      <w:pPr>
        <w:spacing w:line="500" w:lineRule="atLeast"/>
        <w:ind w:firstLine="600"/>
        <w:divId w:val="1514035438"/>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rsidR="00FA415C" w:rsidRDefault="00FA415C">
      <w:pPr>
        <w:spacing w:line="500" w:lineRule="atLeast"/>
        <w:jc w:val="right"/>
        <w:divId w:val="928004611"/>
        <w:rPr>
          <w:rFonts w:hint="eastAsia"/>
          <w:sz w:val="30"/>
          <w:szCs w:val="30"/>
        </w:rPr>
      </w:pPr>
      <w:r>
        <w:rPr>
          <w:rFonts w:hint="eastAsia"/>
          <w:sz w:val="30"/>
          <w:szCs w:val="30"/>
        </w:rPr>
        <w:t>审　判　长　　何敏华</w:t>
      </w:r>
    </w:p>
    <w:p w:rsidR="00FA415C" w:rsidRDefault="00FA415C">
      <w:pPr>
        <w:spacing w:line="500" w:lineRule="atLeast"/>
        <w:jc w:val="right"/>
        <w:divId w:val="791676127"/>
        <w:rPr>
          <w:rFonts w:hint="eastAsia"/>
          <w:sz w:val="30"/>
          <w:szCs w:val="30"/>
        </w:rPr>
      </w:pPr>
      <w:r>
        <w:rPr>
          <w:rFonts w:hint="eastAsia"/>
          <w:sz w:val="30"/>
          <w:szCs w:val="30"/>
        </w:rPr>
        <w:t>人民陪审员　　周建军</w:t>
      </w:r>
    </w:p>
    <w:p w:rsidR="00FA415C" w:rsidRDefault="00FA415C">
      <w:pPr>
        <w:spacing w:line="500" w:lineRule="atLeast"/>
        <w:jc w:val="right"/>
        <w:divId w:val="1740245153"/>
        <w:rPr>
          <w:rFonts w:hint="eastAsia"/>
          <w:sz w:val="30"/>
          <w:szCs w:val="30"/>
        </w:rPr>
      </w:pPr>
      <w:r>
        <w:rPr>
          <w:rFonts w:hint="eastAsia"/>
          <w:sz w:val="30"/>
          <w:szCs w:val="30"/>
        </w:rPr>
        <w:t>人民陪审员　　区洁芳</w:t>
      </w:r>
    </w:p>
    <w:p w:rsidR="00FA415C" w:rsidRDefault="00FA415C">
      <w:pPr>
        <w:spacing w:line="500" w:lineRule="atLeast"/>
        <w:jc w:val="right"/>
        <w:divId w:val="425615633"/>
        <w:rPr>
          <w:rFonts w:hint="eastAsia"/>
          <w:sz w:val="30"/>
          <w:szCs w:val="30"/>
        </w:rPr>
      </w:pPr>
      <w:r>
        <w:rPr>
          <w:rFonts w:hint="eastAsia"/>
          <w:sz w:val="30"/>
          <w:szCs w:val="30"/>
        </w:rPr>
        <w:t>二〇一五年二月四日</w:t>
      </w:r>
    </w:p>
    <w:p w:rsidR="00FA415C" w:rsidRDefault="00FA415C">
      <w:pPr>
        <w:spacing w:line="500" w:lineRule="atLeast"/>
        <w:jc w:val="right"/>
        <w:divId w:val="2016683756"/>
        <w:rPr>
          <w:rFonts w:hint="eastAsia"/>
          <w:sz w:val="30"/>
          <w:szCs w:val="30"/>
        </w:rPr>
      </w:pPr>
      <w:r>
        <w:rPr>
          <w:rFonts w:hint="eastAsia"/>
          <w:sz w:val="30"/>
          <w:szCs w:val="30"/>
        </w:rPr>
        <w:t>书　记　员　　吴静铧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A415C" w:rsidRDefault="00FA415C" w:rsidP="00FA415C">
      <w:pPr>
        <w:rPr>
          <w:rFonts w:hint="eastAsia"/>
        </w:rPr>
      </w:pPr>
      <w:r>
        <w:separator/>
      </w:r>
    </w:p>
  </w:endnote>
  <w:endnote w:type="continuationSeparator" w:id="0">
    <w:p w:rsidR="00FA415C" w:rsidRDefault="00FA415C" w:rsidP="00FA415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A415C" w:rsidRDefault="00FA415C" w:rsidP="00FA415C">
      <w:pPr>
        <w:rPr>
          <w:rFonts w:hint="eastAsia"/>
        </w:rPr>
      </w:pPr>
      <w:r>
        <w:separator/>
      </w:r>
    </w:p>
  </w:footnote>
  <w:footnote w:type="continuationSeparator" w:id="0">
    <w:p w:rsidR="00FA415C" w:rsidRDefault="00FA415C" w:rsidP="00FA415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A415C"/>
    <w:rsid w:val="002A6721"/>
    <w:rsid w:val="00FA41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A415C"/>
    <w:pPr>
      <w:tabs>
        <w:tab w:val="center" w:pos="4153"/>
        <w:tab w:val="right" w:pos="8306"/>
      </w:tabs>
      <w:snapToGrid w:val="0"/>
      <w:jc w:val="center"/>
    </w:pPr>
    <w:rPr>
      <w:sz w:val="18"/>
      <w:szCs w:val="18"/>
    </w:rPr>
  </w:style>
  <w:style w:type="character" w:customStyle="1" w:styleId="a4">
    <w:name w:val="页眉 字符"/>
    <w:basedOn w:val="a0"/>
    <w:link w:val="a3"/>
    <w:uiPriority w:val="99"/>
    <w:rsid w:val="00FA415C"/>
    <w:rPr>
      <w:rFonts w:ascii="宋体" w:eastAsia="宋体" w:hAnsi="宋体" w:cs="宋体"/>
      <w:sz w:val="18"/>
      <w:szCs w:val="18"/>
    </w:rPr>
  </w:style>
  <w:style w:type="paragraph" w:styleId="a5">
    <w:name w:val="footer"/>
    <w:basedOn w:val="a"/>
    <w:link w:val="a6"/>
    <w:uiPriority w:val="99"/>
    <w:unhideWhenUsed/>
    <w:rsid w:val="00FA415C"/>
    <w:pPr>
      <w:tabs>
        <w:tab w:val="center" w:pos="4153"/>
        <w:tab w:val="right" w:pos="8306"/>
      </w:tabs>
      <w:snapToGrid w:val="0"/>
    </w:pPr>
    <w:rPr>
      <w:sz w:val="18"/>
      <w:szCs w:val="18"/>
    </w:rPr>
  </w:style>
  <w:style w:type="character" w:customStyle="1" w:styleId="a6">
    <w:name w:val="页脚 字符"/>
    <w:basedOn w:val="a0"/>
    <w:link w:val="a5"/>
    <w:uiPriority w:val="99"/>
    <w:rsid w:val="00FA415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779461">
      <w:marLeft w:val="0"/>
      <w:marRight w:val="0"/>
      <w:marTop w:val="10"/>
      <w:marBottom w:val="10"/>
      <w:divBdr>
        <w:top w:val="none" w:sz="0" w:space="0" w:color="auto"/>
        <w:left w:val="none" w:sz="0" w:space="0" w:color="auto"/>
        <w:bottom w:val="none" w:sz="0" w:space="0" w:color="auto"/>
        <w:right w:val="none" w:sz="0" w:space="0" w:color="auto"/>
      </w:divBdr>
    </w:div>
    <w:div w:id="425615633">
      <w:marLeft w:val="0"/>
      <w:marRight w:val="720"/>
      <w:marTop w:val="10"/>
      <w:marBottom w:val="10"/>
      <w:divBdr>
        <w:top w:val="none" w:sz="0" w:space="0" w:color="auto"/>
        <w:left w:val="none" w:sz="0" w:space="0" w:color="auto"/>
        <w:bottom w:val="none" w:sz="0" w:space="0" w:color="auto"/>
        <w:right w:val="none" w:sz="0" w:space="0" w:color="auto"/>
      </w:divBdr>
    </w:div>
    <w:div w:id="574436240">
      <w:marLeft w:val="0"/>
      <w:marRight w:val="0"/>
      <w:marTop w:val="10"/>
      <w:marBottom w:val="10"/>
      <w:divBdr>
        <w:top w:val="none" w:sz="0" w:space="0" w:color="auto"/>
        <w:left w:val="none" w:sz="0" w:space="0" w:color="auto"/>
        <w:bottom w:val="none" w:sz="0" w:space="0" w:color="auto"/>
        <w:right w:val="none" w:sz="0" w:space="0" w:color="auto"/>
      </w:divBdr>
    </w:div>
    <w:div w:id="646008002">
      <w:marLeft w:val="0"/>
      <w:marRight w:val="0"/>
      <w:marTop w:val="10"/>
      <w:marBottom w:val="10"/>
      <w:divBdr>
        <w:top w:val="none" w:sz="0" w:space="0" w:color="auto"/>
        <w:left w:val="none" w:sz="0" w:space="0" w:color="auto"/>
        <w:bottom w:val="none" w:sz="0" w:space="0" w:color="auto"/>
        <w:right w:val="none" w:sz="0" w:space="0" w:color="auto"/>
      </w:divBdr>
    </w:div>
    <w:div w:id="724186215">
      <w:marLeft w:val="0"/>
      <w:marRight w:val="0"/>
      <w:marTop w:val="10"/>
      <w:marBottom w:val="10"/>
      <w:divBdr>
        <w:top w:val="none" w:sz="0" w:space="0" w:color="auto"/>
        <w:left w:val="none" w:sz="0" w:space="0" w:color="auto"/>
        <w:bottom w:val="none" w:sz="0" w:space="0" w:color="auto"/>
        <w:right w:val="none" w:sz="0" w:space="0" w:color="auto"/>
      </w:divBdr>
    </w:div>
    <w:div w:id="791676127">
      <w:marLeft w:val="0"/>
      <w:marRight w:val="720"/>
      <w:marTop w:val="10"/>
      <w:marBottom w:val="10"/>
      <w:divBdr>
        <w:top w:val="none" w:sz="0" w:space="0" w:color="auto"/>
        <w:left w:val="none" w:sz="0" w:space="0" w:color="auto"/>
        <w:bottom w:val="none" w:sz="0" w:space="0" w:color="auto"/>
        <w:right w:val="none" w:sz="0" w:space="0" w:color="auto"/>
      </w:divBdr>
    </w:div>
    <w:div w:id="928004611">
      <w:marLeft w:val="0"/>
      <w:marRight w:val="720"/>
      <w:marTop w:val="10"/>
      <w:marBottom w:val="10"/>
      <w:divBdr>
        <w:top w:val="none" w:sz="0" w:space="0" w:color="auto"/>
        <w:left w:val="none" w:sz="0" w:space="0" w:color="auto"/>
        <w:bottom w:val="none" w:sz="0" w:space="0" w:color="auto"/>
        <w:right w:val="none" w:sz="0" w:space="0" w:color="auto"/>
      </w:divBdr>
    </w:div>
    <w:div w:id="988946252">
      <w:marLeft w:val="0"/>
      <w:marRight w:val="0"/>
      <w:marTop w:val="10"/>
      <w:marBottom w:val="10"/>
      <w:divBdr>
        <w:top w:val="none" w:sz="0" w:space="0" w:color="auto"/>
        <w:left w:val="none" w:sz="0" w:space="0" w:color="auto"/>
        <w:bottom w:val="none" w:sz="0" w:space="0" w:color="auto"/>
        <w:right w:val="none" w:sz="0" w:space="0" w:color="auto"/>
      </w:divBdr>
    </w:div>
    <w:div w:id="1033309548">
      <w:marLeft w:val="0"/>
      <w:marRight w:val="0"/>
      <w:marTop w:val="10"/>
      <w:marBottom w:val="10"/>
      <w:divBdr>
        <w:top w:val="none" w:sz="0" w:space="0" w:color="auto"/>
        <w:left w:val="none" w:sz="0" w:space="0" w:color="auto"/>
        <w:bottom w:val="none" w:sz="0" w:space="0" w:color="auto"/>
        <w:right w:val="none" w:sz="0" w:space="0" w:color="auto"/>
      </w:divBdr>
    </w:div>
    <w:div w:id="1206992652">
      <w:marLeft w:val="0"/>
      <w:marRight w:val="0"/>
      <w:marTop w:val="10"/>
      <w:marBottom w:val="10"/>
      <w:divBdr>
        <w:top w:val="none" w:sz="0" w:space="0" w:color="auto"/>
        <w:left w:val="none" w:sz="0" w:space="0" w:color="auto"/>
        <w:bottom w:val="none" w:sz="0" w:space="0" w:color="auto"/>
        <w:right w:val="none" w:sz="0" w:space="0" w:color="auto"/>
      </w:divBdr>
    </w:div>
    <w:div w:id="1385443698">
      <w:marLeft w:val="0"/>
      <w:marRight w:val="0"/>
      <w:marTop w:val="10"/>
      <w:marBottom w:val="10"/>
      <w:divBdr>
        <w:top w:val="none" w:sz="0" w:space="0" w:color="auto"/>
        <w:left w:val="none" w:sz="0" w:space="0" w:color="auto"/>
        <w:bottom w:val="none" w:sz="0" w:space="0" w:color="auto"/>
        <w:right w:val="none" w:sz="0" w:space="0" w:color="auto"/>
      </w:divBdr>
    </w:div>
    <w:div w:id="1505129081">
      <w:marLeft w:val="0"/>
      <w:marRight w:val="0"/>
      <w:marTop w:val="10"/>
      <w:marBottom w:val="10"/>
      <w:divBdr>
        <w:top w:val="none" w:sz="0" w:space="0" w:color="auto"/>
        <w:left w:val="none" w:sz="0" w:space="0" w:color="auto"/>
        <w:bottom w:val="none" w:sz="0" w:space="0" w:color="auto"/>
        <w:right w:val="none" w:sz="0" w:space="0" w:color="auto"/>
      </w:divBdr>
    </w:div>
    <w:div w:id="1514035438">
      <w:marLeft w:val="0"/>
      <w:marRight w:val="0"/>
      <w:marTop w:val="10"/>
      <w:marBottom w:val="10"/>
      <w:divBdr>
        <w:top w:val="none" w:sz="0" w:space="0" w:color="auto"/>
        <w:left w:val="none" w:sz="0" w:space="0" w:color="auto"/>
        <w:bottom w:val="none" w:sz="0" w:space="0" w:color="auto"/>
        <w:right w:val="none" w:sz="0" w:space="0" w:color="auto"/>
      </w:divBdr>
    </w:div>
    <w:div w:id="1619948850">
      <w:marLeft w:val="0"/>
      <w:marRight w:val="0"/>
      <w:marTop w:val="10"/>
      <w:marBottom w:val="10"/>
      <w:divBdr>
        <w:top w:val="none" w:sz="0" w:space="0" w:color="auto"/>
        <w:left w:val="none" w:sz="0" w:space="0" w:color="auto"/>
        <w:bottom w:val="none" w:sz="0" w:space="0" w:color="auto"/>
        <w:right w:val="none" w:sz="0" w:space="0" w:color="auto"/>
      </w:divBdr>
    </w:div>
    <w:div w:id="1740245153">
      <w:marLeft w:val="0"/>
      <w:marRight w:val="720"/>
      <w:marTop w:val="10"/>
      <w:marBottom w:val="10"/>
      <w:divBdr>
        <w:top w:val="none" w:sz="0" w:space="0" w:color="auto"/>
        <w:left w:val="none" w:sz="0" w:space="0" w:color="auto"/>
        <w:bottom w:val="none" w:sz="0" w:space="0" w:color="auto"/>
        <w:right w:val="none" w:sz="0" w:space="0" w:color="auto"/>
      </w:divBdr>
    </w:div>
    <w:div w:id="1759407078">
      <w:marLeft w:val="0"/>
      <w:marRight w:val="0"/>
      <w:marTop w:val="10"/>
      <w:marBottom w:val="10"/>
      <w:divBdr>
        <w:top w:val="none" w:sz="0" w:space="0" w:color="auto"/>
        <w:left w:val="none" w:sz="0" w:space="0" w:color="auto"/>
        <w:bottom w:val="none" w:sz="0" w:space="0" w:color="auto"/>
        <w:right w:val="none" w:sz="0" w:space="0" w:color="auto"/>
      </w:divBdr>
    </w:div>
    <w:div w:id="1849900449">
      <w:marLeft w:val="0"/>
      <w:marRight w:val="0"/>
      <w:marTop w:val="10"/>
      <w:marBottom w:val="10"/>
      <w:divBdr>
        <w:top w:val="none" w:sz="0" w:space="0" w:color="auto"/>
        <w:left w:val="none" w:sz="0" w:space="0" w:color="auto"/>
        <w:bottom w:val="none" w:sz="0" w:space="0" w:color="auto"/>
        <w:right w:val="none" w:sz="0" w:space="0" w:color="auto"/>
      </w:divBdr>
    </w:div>
    <w:div w:id="1954744848">
      <w:marLeft w:val="0"/>
      <w:marRight w:val="0"/>
      <w:marTop w:val="10"/>
      <w:marBottom w:val="10"/>
      <w:divBdr>
        <w:top w:val="none" w:sz="0" w:space="0" w:color="auto"/>
        <w:left w:val="none" w:sz="0" w:space="0" w:color="auto"/>
        <w:bottom w:val="none" w:sz="0" w:space="0" w:color="auto"/>
        <w:right w:val="none" w:sz="0" w:space="0" w:color="auto"/>
      </w:divBdr>
    </w:div>
    <w:div w:id="2016683756">
      <w:marLeft w:val="0"/>
      <w:marRight w:val="720"/>
      <w:marTop w:val="10"/>
      <w:marBottom w:val="10"/>
      <w:divBdr>
        <w:top w:val="none" w:sz="0" w:space="0" w:color="auto"/>
        <w:left w:val="none" w:sz="0" w:space="0" w:color="auto"/>
        <w:bottom w:val="none" w:sz="0" w:space="0" w:color="auto"/>
        <w:right w:val="none" w:sz="0" w:space="0" w:color="auto"/>
      </w:divBdr>
    </w:div>
    <w:div w:id="213798343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275</Words>
  <Characters>1574</Characters>
  <Application>Microsoft Office Word</Application>
  <DocSecurity>0</DocSecurity>
  <Lines>13</Lines>
  <Paragraphs>3</Paragraphs>
  <ScaleCrop>false</ScaleCrop>
  <Company/>
  <LinksUpToDate>false</LinksUpToDate>
  <CharactersWithSpaces>1846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