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C90" w:rsidRDefault="006A5C90">
      <w:pPr>
        <w:spacing w:line="500" w:lineRule="atLeast"/>
        <w:jc w:val="center"/>
        <w:divId w:val="140464489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:rsidR="006A5C90" w:rsidRDefault="006A5C90">
      <w:pPr>
        <w:spacing w:line="500" w:lineRule="atLeast"/>
        <w:jc w:val="center"/>
        <w:divId w:val="130392030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A5C90" w:rsidRDefault="006A5C90">
      <w:pPr>
        <w:spacing w:line="500" w:lineRule="atLeast"/>
        <w:jc w:val="right"/>
        <w:divId w:val="6093603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5322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号</w:t>
      </w:r>
    </w:p>
    <w:p w:rsidR="006A5C90" w:rsidRDefault="006A5C90">
      <w:pPr>
        <w:spacing w:line="500" w:lineRule="atLeast"/>
        <w:ind w:firstLine="600"/>
        <w:divId w:val="348676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:rsidR="006A5C90" w:rsidRDefault="006A5C90">
      <w:pPr>
        <w:spacing w:line="500" w:lineRule="atLeast"/>
        <w:ind w:firstLine="600"/>
        <w:divId w:val="9598432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日出生，汉族，广东省郁南县人，高中文化，居民，住广东省郁南县。因本案，于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日被取保候审。</w:t>
      </w:r>
    </w:p>
    <w:p w:rsidR="006A5C90" w:rsidRDefault="006A5C90">
      <w:pPr>
        <w:spacing w:line="500" w:lineRule="atLeast"/>
        <w:ind w:firstLine="600"/>
        <w:divId w:val="4673566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辩护人梁耀南，广东光源律师事务所律师。</w:t>
      </w:r>
    </w:p>
    <w:p w:rsidR="006A5C90" w:rsidRDefault="006A5C90">
      <w:pPr>
        <w:spacing w:line="500" w:lineRule="atLeast"/>
        <w:ind w:firstLine="600"/>
        <w:divId w:val="822352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号起诉书指控被告人黄某某涉嫌犯行贿罪一案，于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受理后，依法组成合议庭，适用普通程序公开开庭进行了审理。郁南县人民检察院指派检察员郑伟杰出庭支持公诉，被告人黄某某及其辩护人梁耀南到庭参加诉讼。由于案情复杂，经云浮市中级人民法院批准审理期限延长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日。现已审理终结。</w:t>
      </w:r>
    </w:p>
    <w:p w:rsidR="006A5C90" w:rsidRDefault="006A5C90">
      <w:pPr>
        <w:spacing w:line="500" w:lineRule="atLeast"/>
        <w:ind w:firstLine="600"/>
        <w:divId w:val="353193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经审理查明，被告人黄某某于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年开始承建郁南县都城镇天子城公墓项目工程，在向郁南县都城镇政府追讨工程款过程中认识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年任都城镇党委书记的曾某某（另案处理）。被告人黄某某为尽快收到工程款和承接更多镇政府工程，于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年期间，多次向曾某某行贿人民币共计</w:t>
      </w:r>
      <w:r>
        <w:rPr>
          <w:rFonts w:hint="eastAsia"/>
          <w:sz w:val="30"/>
          <w:szCs w:val="30"/>
        </w:rPr>
        <w:t>48000</w:t>
      </w:r>
      <w:r>
        <w:rPr>
          <w:rFonts w:hint="eastAsia"/>
          <w:sz w:val="30"/>
          <w:szCs w:val="30"/>
        </w:rPr>
        <w:t>元。</w:t>
      </w:r>
    </w:p>
    <w:p w:rsidR="006A5C90" w:rsidRDefault="006A5C90">
      <w:pPr>
        <w:spacing w:line="500" w:lineRule="atLeast"/>
        <w:ind w:firstLine="600"/>
        <w:divId w:val="3799845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被告人黄某某对起诉书指控的基本犯罪事实无异议，并表示自愿认罪。</w:t>
      </w:r>
    </w:p>
    <w:p w:rsidR="006A5C90" w:rsidRDefault="006A5C90">
      <w:pPr>
        <w:spacing w:line="500" w:lineRule="atLeast"/>
        <w:ind w:firstLine="600"/>
        <w:divId w:val="1646623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辩护人梁耀南对起诉书指控的基本犯罪事实无异议，并认为被告人黄某某在追诉前主动交代了犯罪事实，认罪态度较好，有悔罪表现，依法可从轻或减轻处罚，并建议适用缓刑。</w:t>
      </w:r>
    </w:p>
    <w:p w:rsidR="006A5C90" w:rsidRDefault="006A5C90">
      <w:pPr>
        <w:spacing w:line="500" w:lineRule="atLeast"/>
        <w:ind w:firstLine="600"/>
        <w:divId w:val="202451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上述事实，有公诉机关提交并经法庭质证、认证的下列证据予以证实：指定管辖决定书、立案决定书、线索来源及抓获</w:t>
      </w:r>
      <w:r>
        <w:rPr>
          <w:rFonts w:hint="eastAsia"/>
          <w:sz w:val="30"/>
          <w:szCs w:val="30"/>
        </w:rPr>
        <w:lastRenderedPageBreak/>
        <w:t>经过、工程承包合同、结算表、营业执照、对曾某某涉嫌贪污一案立案决定书、郁南县相关人员职务任免通知文件、户口资料；证人曾某某的证言；被告人黄某某的供述与辩解；视听资料等。</w:t>
      </w:r>
    </w:p>
    <w:p w:rsidR="006A5C90" w:rsidRDefault="006A5C90">
      <w:pPr>
        <w:spacing w:line="500" w:lineRule="atLeast"/>
        <w:ind w:firstLine="600"/>
        <w:divId w:val="625311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上述证据能够相互印证，足以证实被告人黄某某犯行贿罪的犯罪事实。</w:t>
      </w:r>
    </w:p>
    <w:p w:rsidR="006A5C90" w:rsidRDefault="006A5C90">
      <w:pPr>
        <w:spacing w:line="500" w:lineRule="atLeast"/>
        <w:ind w:firstLine="600"/>
        <w:divId w:val="124281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某无视国家法律，在经济往来中违反国家规定，给予国家工作人员以财物，数额较大，其行为已触犯《中华人民共和国刑法》第三百八十九条之规定，构成行贿罪，依法应处五年以下有期徒刑或者拘役，并处罚金。鉴于被告人黄某某在司法机关立案追诉前主动交代行贿行为，依法可以从轻或者减轻处罚。综合考虑本案的犯罪事实、性质和情节，并结合被告人黄某某的悔罪表现，对被告人黄某某适用缓刑对其所居住的社区没有重大不良影响，可适用缓刑。辩护人提出的辩护意见属实，本院予以采纳。</w:t>
      </w:r>
    </w:p>
    <w:p w:rsidR="006A5C90" w:rsidRDefault="006A5C90">
      <w:pPr>
        <w:spacing w:line="500" w:lineRule="atLeast"/>
        <w:ind w:firstLine="600"/>
        <w:divId w:val="15574260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公诉机关指控被告人黄某某犯行贿罪的事实清楚、证据确实充分，罪名成立，予以支持。依照《中华人民共和国刑法》第三百八十九条、第三百九十条、第四十五条、第五十二条、第五十三条、第六十一条、第七十二条、第七十三条，以及最高人民法院、最高人民检察院《关于办理贪污贿赂刑事案件适用法律若干问题的解释》第七条、第十九条的规定，判决如下：</w:t>
      </w:r>
    </w:p>
    <w:p w:rsidR="006A5C90" w:rsidRDefault="006A5C90">
      <w:pPr>
        <w:spacing w:line="500" w:lineRule="atLeast"/>
        <w:ind w:firstLine="600"/>
        <w:divId w:val="107743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被告人黄某某犯行贿罪，判处有期徒刑七个月，缓刑一年，并处罚金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元。（缓刑考验期限，从判决确定之日起计算。罚金限于本判决生效后十日内缴纳。）</w:t>
      </w:r>
    </w:p>
    <w:p w:rsidR="006A5C90" w:rsidRDefault="006A5C90">
      <w:pPr>
        <w:spacing w:line="500" w:lineRule="atLeast"/>
        <w:ind w:firstLine="600"/>
        <w:divId w:val="347945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如不服本判决，可在接到判决书的第二日起十日内，通过本院或直接向广东省云浮市中级人民法院提出上诉，书面上诉的，应提交上诉状正本一份，副本二份。</w:t>
      </w:r>
    </w:p>
    <w:p w:rsidR="006A5C90" w:rsidRDefault="006A5C90">
      <w:pPr>
        <w:spacing w:line="500" w:lineRule="atLeast"/>
        <w:jc w:val="right"/>
        <w:divId w:val="284237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聂海奇</w:t>
      </w:r>
    </w:p>
    <w:p w:rsidR="006A5C90" w:rsidRDefault="006A5C90">
      <w:pPr>
        <w:spacing w:line="500" w:lineRule="atLeast"/>
        <w:jc w:val="right"/>
        <w:divId w:val="18737602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傅世豪</w:t>
      </w:r>
    </w:p>
    <w:p w:rsidR="006A5C90" w:rsidRDefault="006A5C90">
      <w:pPr>
        <w:spacing w:line="500" w:lineRule="atLeast"/>
        <w:jc w:val="right"/>
        <w:divId w:val="486482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刘海清</w:t>
      </w:r>
    </w:p>
    <w:p w:rsidR="006A5C90" w:rsidRDefault="006A5C90">
      <w:pPr>
        <w:spacing w:line="500" w:lineRule="atLeast"/>
        <w:jc w:val="right"/>
        <w:divId w:val="1601522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二〇一七年七月二十日</w:t>
      </w:r>
    </w:p>
    <w:p w:rsidR="006A5C90" w:rsidRDefault="006A5C90">
      <w:pPr>
        <w:spacing w:line="500" w:lineRule="atLeast"/>
        <w:jc w:val="right"/>
        <w:divId w:val="1549221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廖文敏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5C90" w:rsidRDefault="006A5C90" w:rsidP="006A5C90">
      <w:pPr>
        <w:rPr>
          <w:rFonts w:hint="eastAsia"/>
        </w:rPr>
      </w:pPr>
      <w:r>
        <w:separator/>
      </w:r>
    </w:p>
  </w:endnote>
  <w:endnote w:type="continuationSeparator" w:id="0">
    <w:p w:rsidR="006A5C90" w:rsidRDefault="006A5C90" w:rsidP="006A5C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5C90" w:rsidRDefault="006A5C90" w:rsidP="006A5C90">
      <w:pPr>
        <w:rPr>
          <w:rFonts w:hint="eastAsia"/>
        </w:rPr>
      </w:pPr>
      <w:r>
        <w:separator/>
      </w:r>
    </w:p>
  </w:footnote>
  <w:footnote w:type="continuationSeparator" w:id="0">
    <w:p w:rsidR="006A5C90" w:rsidRDefault="006A5C90" w:rsidP="006A5C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90"/>
    <w:rsid w:val="002A6721"/>
    <w:rsid w:val="006A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5C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5C9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5C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5C9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38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17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1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6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8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5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6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29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2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2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60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1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2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