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1ACF" w:rsidRDefault="00EB1ACF">
      <w:pPr>
        <w:spacing w:line="500" w:lineRule="atLeast"/>
        <w:jc w:val="center"/>
        <w:divId w:val="972103745"/>
        <w:rPr>
          <w:rFonts w:ascii="黑体" w:eastAsia="黑体" w:hAnsi="黑体"/>
          <w:sz w:val="36"/>
          <w:szCs w:val="36"/>
        </w:rPr>
      </w:pPr>
      <w:r>
        <w:rPr>
          <w:rFonts w:ascii="黑体" w:eastAsia="黑体" w:hAnsi="黑体" w:hint="eastAsia"/>
          <w:sz w:val="36"/>
          <w:szCs w:val="36"/>
        </w:rPr>
        <w:t>广东省广州市番禺区人民法院</w:t>
      </w:r>
    </w:p>
    <w:p w:rsidR="00EB1ACF" w:rsidRDefault="00EB1ACF">
      <w:pPr>
        <w:spacing w:line="500" w:lineRule="atLeast"/>
        <w:jc w:val="center"/>
        <w:divId w:val="17208573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B1ACF" w:rsidRDefault="00EB1ACF">
      <w:pPr>
        <w:spacing w:line="500" w:lineRule="atLeast"/>
        <w:jc w:val="right"/>
        <w:divId w:val="756099077"/>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1680</w:t>
      </w:r>
      <w:r>
        <w:rPr>
          <w:rFonts w:hint="eastAsia"/>
          <w:sz w:val="30"/>
          <w:szCs w:val="30"/>
        </w:rPr>
        <w:t>号</w:t>
      </w:r>
    </w:p>
    <w:p w:rsidR="00EB1ACF" w:rsidRDefault="00EB1ACF">
      <w:pPr>
        <w:spacing w:line="500" w:lineRule="atLeast"/>
        <w:ind w:firstLine="600"/>
        <w:divId w:val="1685396499"/>
        <w:rPr>
          <w:rFonts w:hint="eastAsia"/>
          <w:sz w:val="30"/>
          <w:szCs w:val="30"/>
        </w:rPr>
      </w:pPr>
      <w:r>
        <w:rPr>
          <w:rFonts w:hint="eastAsia"/>
          <w:sz w:val="30"/>
          <w:szCs w:val="30"/>
        </w:rPr>
        <w:t>公诉机关广东省广州市番禺区人民检察院。</w:t>
      </w:r>
    </w:p>
    <w:p w:rsidR="00EB1ACF" w:rsidRDefault="00EB1ACF">
      <w:pPr>
        <w:spacing w:line="500" w:lineRule="atLeast"/>
        <w:ind w:firstLine="600"/>
        <w:divId w:val="368606572"/>
        <w:rPr>
          <w:rFonts w:hint="eastAsia"/>
          <w:sz w:val="30"/>
          <w:szCs w:val="30"/>
        </w:rPr>
      </w:pPr>
      <w:r>
        <w:rPr>
          <w:rFonts w:hint="eastAsia"/>
          <w:sz w:val="30"/>
          <w:szCs w:val="30"/>
        </w:rPr>
        <w:t>被告人黄永轩，曾用名黄永欣，男，</w:t>
      </w:r>
      <w:r>
        <w:rPr>
          <w:rFonts w:hint="eastAsia"/>
          <w:sz w:val="30"/>
          <w:szCs w:val="30"/>
        </w:rPr>
        <w:t>1988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日出生，汉族，文化程度大专，户籍地广东省广州市南沙区。因本案于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日被羁押，同日被刑事拘留，同年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日被逮捕。现押于广州市南沙区看守所。</w:t>
      </w:r>
    </w:p>
    <w:p w:rsidR="00EB1ACF" w:rsidRDefault="00EB1ACF">
      <w:pPr>
        <w:spacing w:line="500" w:lineRule="atLeast"/>
        <w:ind w:firstLine="600"/>
        <w:divId w:val="995300328"/>
        <w:rPr>
          <w:rFonts w:hint="eastAsia"/>
          <w:sz w:val="30"/>
          <w:szCs w:val="30"/>
        </w:rPr>
      </w:pPr>
      <w:r>
        <w:rPr>
          <w:rFonts w:hint="eastAsia"/>
          <w:sz w:val="30"/>
          <w:szCs w:val="30"/>
        </w:rPr>
        <w:t>辩护人何志森，广东百健律师事务所律师。</w:t>
      </w:r>
    </w:p>
    <w:p w:rsidR="00EB1ACF" w:rsidRDefault="00EB1ACF">
      <w:pPr>
        <w:spacing w:line="500" w:lineRule="atLeast"/>
        <w:ind w:firstLine="600"/>
        <w:divId w:val="1249726592"/>
        <w:rPr>
          <w:rFonts w:hint="eastAsia"/>
          <w:sz w:val="30"/>
          <w:szCs w:val="30"/>
        </w:rPr>
      </w:pPr>
      <w:r>
        <w:rPr>
          <w:rFonts w:hint="eastAsia"/>
          <w:sz w:val="30"/>
          <w:szCs w:val="30"/>
        </w:rPr>
        <w:t>广东省广州市番禺区人民检察院以穗番检公刑诉〔</w:t>
      </w:r>
      <w:r>
        <w:rPr>
          <w:rFonts w:hint="eastAsia"/>
          <w:sz w:val="30"/>
          <w:szCs w:val="30"/>
        </w:rPr>
        <w:t>2019</w:t>
      </w:r>
      <w:r>
        <w:rPr>
          <w:rFonts w:hint="eastAsia"/>
          <w:sz w:val="30"/>
          <w:szCs w:val="30"/>
        </w:rPr>
        <w:t>〕</w:t>
      </w:r>
      <w:r>
        <w:rPr>
          <w:rFonts w:hint="eastAsia"/>
          <w:sz w:val="30"/>
          <w:szCs w:val="30"/>
        </w:rPr>
        <w:t>1309</w:t>
      </w:r>
      <w:r>
        <w:rPr>
          <w:rFonts w:hint="eastAsia"/>
          <w:sz w:val="30"/>
          <w:szCs w:val="30"/>
        </w:rPr>
        <w:t>号起诉书指控被告人黄永轩帮助犯罪分子逃避处罚、受贿一案，于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日向本院提起公诉。本院遵照广州市中级人民法院指定管辖的决定于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日立案受理，依法适用简易程序，组成合议庭，公开开庭审理了本案。广东省广州市番禺区人民检察院指派检察员陈小敏出庭支持公诉，被告人黄永轩及其辩护人何志森到庭参加了诉讼。本案现已审理终结。</w:t>
      </w:r>
    </w:p>
    <w:p w:rsidR="00EB1ACF" w:rsidRDefault="00EB1ACF">
      <w:pPr>
        <w:spacing w:line="500" w:lineRule="atLeast"/>
        <w:ind w:firstLine="600"/>
        <w:divId w:val="1468470456"/>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年底至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间，被告人黄永轩与冯僚源（另处理）经合谋后，利用被告人黄永轩担任广州市公安局南沙区分局大岗派出所治安组辅警，掌握辖区内查处涉黄涉赌行动信息的职务便利，经由被告人黄永轩将上述信息通风报信给冯僚源，致使冯僚源开设赌场的犯罪行为长期未被查禁。</w:t>
      </w:r>
      <w:r>
        <w:rPr>
          <w:rFonts w:hint="eastAsia"/>
          <w:sz w:val="30"/>
          <w:szCs w:val="30"/>
        </w:rPr>
        <w:t>2014</w:t>
      </w:r>
      <w:r>
        <w:rPr>
          <w:rFonts w:hint="eastAsia"/>
          <w:sz w:val="30"/>
          <w:szCs w:val="30"/>
        </w:rPr>
        <w:t>年底至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月间，被告人黄永轩利用上述职务便利为开设赌场的冯僚源通风报信期间，按约定收取冯僚源以现金及微信转账等方式贿送的款项共计约人民币</w:t>
      </w:r>
      <w:r>
        <w:rPr>
          <w:rFonts w:hint="eastAsia"/>
          <w:sz w:val="30"/>
          <w:szCs w:val="30"/>
        </w:rPr>
        <w:t>2.3</w:t>
      </w:r>
      <w:r>
        <w:rPr>
          <w:rFonts w:hint="eastAsia"/>
          <w:sz w:val="30"/>
          <w:szCs w:val="30"/>
        </w:rPr>
        <w:t>万元。</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日，广州市公安局南沙区分局根据线索在广州市公安局南沙区分局大岗派出所将被告人黄永轩抓获。</w:t>
      </w:r>
    </w:p>
    <w:p w:rsidR="00EB1ACF" w:rsidRDefault="00EB1ACF">
      <w:pPr>
        <w:spacing w:line="500" w:lineRule="atLeast"/>
        <w:ind w:firstLine="600"/>
        <w:divId w:val="1718158328"/>
        <w:rPr>
          <w:rFonts w:hint="eastAsia"/>
          <w:sz w:val="30"/>
          <w:szCs w:val="30"/>
        </w:rPr>
      </w:pPr>
      <w:r>
        <w:rPr>
          <w:rFonts w:hint="eastAsia"/>
          <w:sz w:val="30"/>
          <w:szCs w:val="30"/>
        </w:rPr>
        <w:lastRenderedPageBreak/>
        <w:t>公诉机关就其指控的事实向本院提供了：书证、证人证言、被告人供述和辩解、视听资料等证据。公诉机关认为，被告人黄永轩身为有查禁犯罪活动职责的国家机关工作人员，向犯罪分子通风报信帮助犯罪分子逃避处罚；且利用职务便利，多次非法收受他人财物，为他人谋取利益，其行为触犯了《中华人民共和国刑法》第四百一十七条、第三百八十五条之规定，犯罪事实清楚，证据确实、充分，应当以帮助犯罪分子逃避处罚罪、受贿罪追究其刑事责任。被告人黄永轩在判决宣告以前一人犯数罪，根据《中华人民共和国刑法》第六十九条之规定，应数罪并罚。被告人黄永轩自愿如实供述自己的罪行，承认指控的犯罪事实，愿意接受处罚，根据《中华人民共和国刑事诉讼法》第十五条之规定，可以依法从宽处理。关于帮助犯罪分子逃避处罚罪，建议法院对被告人黄永轩判处一年以上二年以下有期徒刑；关于受贿罪，建议法院对被告人黄永轩判处一年以下有期徒刑，并处罚金。提请本院依法判处。</w:t>
      </w:r>
    </w:p>
    <w:p w:rsidR="00EB1ACF" w:rsidRDefault="00EB1ACF">
      <w:pPr>
        <w:spacing w:line="500" w:lineRule="atLeast"/>
        <w:ind w:firstLine="600"/>
        <w:divId w:val="1564877203"/>
        <w:rPr>
          <w:rFonts w:hint="eastAsia"/>
          <w:sz w:val="30"/>
          <w:szCs w:val="30"/>
        </w:rPr>
      </w:pPr>
      <w:r>
        <w:rPr>
          <w:rFonts w:hint="eastAsia"/>
          <w:sz w:val="30"/>
          <w:szCs w:val="30"/>
        </w:rPr>
        <w:t>被告人黄永轩承认控罪，没有辩解。</w:t>
      </w:r>
    </w:p>
    <w:p w:rsidR="00EB1ACF" w:rsidRDefault="00EB1ACF">
      <w:pPr>
        <w:spacing w:line="500" w:lineRule="atLeast"/>
        <w:ind w:firstLine="600"/>
        <w:divId w:val="554466746"/>
        <w:rPr>
          <w:rFonts w:hint="eastAsia"/>
          <w:sz w:val="30"/>
          <w:szCs w:val="30"/>
        </w:rPr>
      </w:pPr>
      <w:r>
        <w:rPr>
          <w:rFonts w:hint="eastAsia"/>
          <w:sz w:val="30"/>
          <w:szCs w:val="30"/>
        </w:rPr>
        <w:t>辩护人对公诉机关指控的罪名不持异议，认为：被告人黄永轩自愿认罪认罚，具有坦白情节，系初犯，主观恶性不大，自愿退赃，有悔改表现。建议法庭对被告人黄永轩从轻、减轻处罚并适用缓刑。</w:t>
      </w:r>
    </w:p>
    <w:p w:rsidR="00EB1ACF" w:rsidRDefault="00EB1ACF">
      <w:pPr>
        <w:spacing w:line="500" w:lineRule="atLeast"/>
        <w:ind w:firstLine="600"/>
        <w:divId w:val="1763182197"/>
        <w:rPr>
          <w:rFonts w:hint="eastAsia"/>
          <w:sz w:val="30"/>
          <w:szCs w:val="30"/>
        </w:rPr>
      </w:pPr>
      <w:r>
        <w:rPr>
          <w:rFonts w:hint="eastAsia"/>
          <w:sz w:val="30"/>
          <w:szCs w:val="30"/>
        </w:rPr>
        <w:t>经审理查明：</w:t>
      </w:r>
      <w:r>
        <w:rPr>
          <w:rFonts w:hint="eastAsia"/>
          <w:sz w:val="30"/>
          <w:szCs w:val="30"/>
        </w:rPr>
        <w:t>2014</w:t>
      </w:r>
      <w:r>
        <w:rPr>
          <w:rFonts w:hint="eastAsia"/>
          <w:sz w:val="30"/>
          <w:szCs w:val="30"/>
        </w:rPr>
        <w:t>年底至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间，被告人黄永轩与冯僚源（另处理）经合谋后，利用被告人黄永轩担任广州市公安局南沙区分局大岗派出所治安组辅警，掌握辖区内查处涉黄涉赌行动信息的职务便利，经由被告人黄永轩将上述信息通风报信给冯僚源，致使冯僚源开设赌场的犯罪行为长期未被查禁。</w:t>
      </w:r>
    </w:p>
    <w:p w:rsidR="00EB1ACF" w:rsidRDefault="00EB1ACF">
      <w:pPr>
        <w:spacing w:line="500" w:lineRule="atLeast"/>
        <w:ind w:firstLine="600"/>
        <w:divId w:val="765611421"/>
        <w:rPr>
          <w:rFonts w:hint="eastAsia"/>
          <w:sz w:val="30"/>
          <w:szCs w:val="30"/>
        </w:rPr>
      </w:pPr>
      <w:r>
        <w:rPr>
          <w:rFonts w:hint="eastAsia"/>
          <w:sz w:val="30"/>
          <w:szCs w:val="30"/>
        </w:rPr>
        <w:t>2014</w:t>
      </w:r>
      <w:r>
        <w:rPr>
          <w:rFonts w:hint="eastAsia"/>
          <w:sz w:val="30"/>
          <w:szCs w:val="30"/>
        </w:rPr>
        <w:t>年底至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月间，被告人黄永轩利用上述职务便利为开设赌场的冯僚源通风报信期间，按约定收取冯僚源以现金及微信转账等方式贿送的款项共计约人民币</w:t>
      </w:r>
      <w:r>
        <w:rPr>
          <w:rFonts w:hint="eastAsia"/>
          <w:sz w:val="30"/>
          <w:szCs w:val="30"/>
        </w:rPr>
        <w:t>23000</w:t>
      </w:r>
      <w:r>
        <w:rPr>
          <w:rFonts w:hint="eastAsia"/>
          <w:sz w:val="30"/>
          <w:szCs w:val="30"/>
        </w:rPr>
        <w:t>元。</w:t>
      </w:r>
    </w:p>
    <w:p w:rsidR="00EB1ACF" w:rsidRDefault="00EB1ACF">
      <w:pPr>
        <w:spacing w:line="500" w:lineRule="atLeast"/>
        <w:ind w:firstLine="600"/>
        <w:divId w:val="550270696"/>
        <w:rPr>
          <w:rFonts w:hint="eastAsia"/>
          <w:sz w:val="30"/>
          <w:szCs w:val="30"/>
        </w:rPr>
      </w:pP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日，广州市公安局南沙区分局根据线索在广州市公安局南沙区分局大岗派出所将被告人黄永轩抓获。</w:t>
      </w:r>
    </w:p>
    <w:p w:rsidR="00EB1ACF" w:rsidRDefault="00EB1ACF">
      <w:pPr>
        <w:spacing w:line="500" w:lineRule="atLeast"/>
        <w:ind w:firstLine="600"/>
        <w:divId w:val="1160609643"/>
        <w:rPr>
          <w:rFonts w:hint="eastAsia"/>
          <w:sz w:val="30"/>
          <w:szCs w:val="30"/>
        </w:rPr>
      </w:pPr>
      <w:r>
        <w:rPr>
          <w:rFonts w:hint="eastAsia"/>
          <w:sz w:val="30"/>
          <w:szCs w:val="30"/>
        </w:rPr>
        <w:t>案发后，被告人黄永轩向本院退出赃款人民币</w:t>
      </w:r>
      <w:r>
        <w:rPr>
          <w:rFonts w:hint="eastAsia"/>
          <w:sz w:val="30"/>
          <w:szCs w:val="30"/>
        </w:rPr>
        <w:t>23000</w:t>
      </w:r>
      <w:r>
        <w:rPr>
          <w:rFonts w:hint="eastAsia"/>
          <w:sz w:val="30"/>
          <w:szCs w:val="30"/>
        </w:rPr>
        <w:t>元。</w:t>
      </w:r>
    </w:p>
    <w:p w:rsidR="00EB1ACF" w:rsidRDefault="00EB1ACF">
      <w:pPr>
        <w:spacing w:line="500" w:lineRule="atLeast"/>
        <w:ind w:firstLine="600"/>
        <w:divId w:val="1507793788"/>
        <w:rPr>
          <w:rFonts w:hint="eastAsia"/>
          <w:sz w:val="30"/>
          <w:szCs w:val="30"/>
        </w:rPr>
      </w:pPr>
      <w:r>
        <w:rPr>
          <w:rFonts w:hint="eastAsia"/>
          <w:sz w:val="30"/>
          <w:szCs w:val="30"/>
        </w:rPr>
        <w:t>上述事实，被告人黄永轩在庭审过程中亦予以供认，并有证人李某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冯僚源的证言，被告人的供述，辨认笔录，广州市公安局南沙区分局提交的移送案件通知书、关于大岗派出所辅警黄永轩涉嫌违法违纪线索的移送函、工作报告、黄永轩身份及任职情况证明、视听资料、调取证据通知书，广州市南沙区监察委员会提交的关于说明黄永轩通过微信收受冯僚源钱财数额的函，指定管辖材料，退赃凭证，抓获经过等证据证实，足以认定。</w:t>
      </w:r>
    </w:p>
    <w:p w:rsidR="00EB1ACF" w:rsidRDefault="00EB1ACF">
      <w:pPr>
        <w:spacing w:line="500" w:lineRule="atLeast"/>
        <w:ind w:firstLine="600"/>
        <w:divId w:val="8529652"/>
        <w:rPr>
          <w:rFonts w:hint="eastAsia"/>
          <w:sz w:val="30"/>
          <w:szCs w:val="30"/>
        </w:rPr>
      </w:pPr>
      <w:r>
        <w:rPr>
          <w:rFonts w:hint="eastAsia"/>
          <w:sz w:val="30"/>
          <w:szCs w:val="30"/>
        </w:rPr>
        <w:t>本院认为，被告人黄永轩无视国家法律，身为有查禁犯罪活动职责的国家机关工作人员，长期向犯罪分子通风报信，帮助犯罪分子逃避处罚，其行为已构成帮助犯罪分子逃避处罚罪，依法应当对其适用“三年以下有期徒刑或者拘役”的量刑幅度予以处罚。被告人黄永轩利用职务上的便利，多次非法收受他人财物，为他人谋取利益，造成其他严重后果，其行为已构成受贿罪，依法应当对其适用“三年以下有期徒刑或者拘役，并处罚金”的量刑幅度予以处罚。公诉机关指控被告人黄永轩犯帮助犯罪分子逃避处罚罪、受贿罪事实清楚，证据确实、充分，指控罪名成立。被告人黄永轩在判决宣告以前一人犯数罪，应数罪并罚。被告人黄永轩自愿认罪认罚，主动退出全部赃款，可以从轻处罚。辩护人以前述理由建议对被告人从轻处罚的意见，本院予以采纳。对于辩护人所提被告人具有坦白情节的意见，经查，被告人黄永轩归案后否认受贿，后期仅供认收受少量现金，不能认定其如实供述，辩护人该意见本院不予采纳。辩护人建议适用缓刑理据不充分，本院不予采纳。公诉机关的量刑意见，本院予以采纳。本院根据法定刑幅度、法定的量刑情节、酌定的量刑情节，并综合考虑被告人犯罪的事实、情节及社会危害性，依照《中华人民共和国刑法》第四百一十七</w:t>
      </w:r>
      <w:r>
        <w:rPr>
          <w:rFonts w:hint="eastAsia"/>
          <w:sz w:val="30"/>
          <w:szCs w:val="30"/>
        </w:rPr>
        <w:t>条、第三百八十五条第一款、第三百八十六条、第三百八十三条第一款第（一）项、第六十九条、第五十二条、第五十三条、第六十四条、《中华人民共和国刑事诉讼法》第十五条及最高人民法院、最高人民检察院《关于办理贪污贿赂刑事案件适用法律若干问题的解释》第一条第二款第（六）项、第十八条、第十九条的规定，判决如下：</w:t>
      </w:r>
    </w:p>
    <w:p w:rsidR="00EB1ACF" w:rsidRDefault="00EB1ACF">
      <w:pPr>
        <w:spacing w:line="500" w:lineRule="atLeast"/>
        <w:ind w:firstLine="600"/>
        <w:divId w:val="1657608304"/>
        <w:rPr>
          <w:rFonts w:hint="eastAsia"/>
          <w:sz w:val="30"/>
          <w:szCs w:val="30"/>
        </w:rPr>
      </w:pPr>
      <w:r>
        <w:rPr>
          <w:rFonts w:hint="eastAsia"/>
          <w:sz w:val="30"/>
          <w:szCs w:val="30"/>
        </w:rPr>
        <w:t>一、被告人黄永轩犯帮助犯罪分子逃避处罚罪，判处有期徒刑一年；犯受贿罪，判处有期徒刑九个月，并处罚金人民币十五万元；决定执行有期徒刑一年四个月，并处罚金人民币十五万元（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日止）。</w:t>
      </w:r>
    </w:p>
    <w:p w:rsidR="00EB1ACF" w:rsidRDefault="00EB1ACF">
      <w:pPr>
        <w:spacing w:line="500" w:lineRule="atLeast"/>
        <w:ind w:firstLine="600"/>
        <w:divId w:val="101536622"/>
        <w:rPr>
          <w:rFonts w:hint="eastAsia"/>
          <w:sz w:val="30"/>
          <w:szCs w:val="30"/>
        </w:rPr>
      </w:pPr>
      <w:r>
        <w:rPr>
          <w:rFonts w:hint="eastAsia"/>
          <w:sz w:val="30"/>
          <w:szCs w:val="30"/>
        </w:rPr>
        <w:t>二、被告人黄永轩违法所得人民币</w:t>
      </w:r>
      <w:r>
        <w:rPr>
          <w:rFonts w:hint="eastAsia"/>
          <w:sz w:val="30"/>
          <w:szCs w:val="30"/>
        </w:rPr>
        <w:t>23000</w:t>
      </w:r>
      <w:r>
        <w:rPr>
          <w:rFonts w:hint="eastAsia"/>
          <w:sz w:val="30"/>
          <w:szCs w:val="30"/>
        </w:rPr>
        <w:t>元，予以没收上缴国库（该款项暂存于广东省广州市番禺区人民法院）。</w:t>
      </w:r>
    </w:p>
    <w:p w:rsidR="00EB1ACF" w:rsidRDefault="00EB1ACF">
      <w:pPr>
        <w:spacing w:line="500" w:lineRule="atLeast"/>
        <w:ind w:firstLine="600"/>
        <w:divId w:val="975720048"/>
        <w:rPr>
          <w:rFonts w:hint="eastAsia"/>
          <w:sz w:val="30"/>
          <w:szCs w:val="30"/>
        </w:rPr>
      </w:pPr>
      <w:r>
        <w:rPr>
          <w:rFonts w:hint="eastAsia"/>
          <w:sz w:val="30"/>
          <w:szCs w:val="30"/>
        </w:rPr>
        <w:t>如不服本判决，可在接到本判决书的第二日起十日内，通过本院或者直接向广东省广州市中级人民法院提出上诉。书面上诉的，应当提交上诉状正本一份，副本二份。</w:t>
      </w:r>
    </w:p>
    <w:p w:rsidR="00EB1ACF" w:rsidRDefault="00EB1ACF">
      <w:pPr>
        <w:spacing w:line="500" w:lineRule="atLeast"/>
        <w:jc w:val="right"/>
        <w:divId w:val="953904810"/>
        <w:rPr>
          <w:rFonts w:hint="eastAsia"/>
          <w:sz w:val="30"/>
          <w:szCs w:val="30"/>
        </w:rPr>
      </w:pPr>
      <w:r>
        <w:rPr>
          <w:rFonts w:hint="eastAsia"/>
          <w:sz w:val="30"/>
          <w:szCs w:val="30"/>
        </w:rPr>
        <w:t>审　判　长　　马　聪</w:t>
      </w:r>
    </w:p>
    <w:p w:rsidR="00EB1ACF" w:rsidRDefault="00EB1ACF">
      <w:pPr>
        <w:spacing w:line="500" w:lineRule="atLeast"/>
        <w:jc w:val="right"/>
        <w:divId w:val="130296087"/>
        <w:rPr>
          <w:rFonts w:hint="eastAsia"/>
          <w:sz w:val="30"/>
          <w:szCs w:val="30"/>
        </w:rPr>
      </w:pPr>
      <w:r>
        <w:rPr>
          <w:rFonts w:hint="eastAsia"/>
          <w:sz w:val="30"/>
          <w:szCs w:val="30"/>
        </w:rPr>
        <w:t>人民陪审员　　罗冠华</w:t>
      </w:r>
    </w:p>
    <w:p w:rsidR="00EB1ACF" w:rsidRDefault="00EB1ACF">
      <w:pPr>
        <w:spacing w:line="500" w:lineRule="atLeast"/>
        <w:jc w:val="right"/>
        <w:divId w:val="1549953379"/>
        <w:rPr>
          <w:rFonts w:hint="eastAsia"/>
          <w:sz w:val="30"/>
          <w:szCs w:val="30"/>
        </w:rPr>
      </w:pPr>
      <w:r>
        <w:rPr>
          <w:rFonts w:hint="eastAsia"/>
          <w:sz w:val="30"/>
          <w:szCs w:val="30"/>
        </w:rPr>
        <w:t>人民陪审员　　谢倩君</w:t>
      </w:r>
    </w:p>
    <w:p w:rsidR="00EB1ACF" w:rsidRDefault="00EB1ACF">
      <w:pPr>
        <w:spacing w:line="500" w:lineRule="atLeast"/>
        <w:jc w:val="right"/>
        <w:divId w:val="444545285"/>
        <w:rPr>
          <w:rFonts w:hint="eastAsia"/>
          <w:sz w:val="30"/>
          <w:szCs w:val="30"/>
        </w:rPr>
      </w:pPr>
      <w:r>
        <w:rPr>
          <w:rFonts w:hint="eastAsia"/>
          <w:sz w:val="30"/>
          <w:szCs w:val="30"/>
        </w:rPr>
        <w:t>二〇一九年十月二十九日</w:t>
      </w:r>
    </w:p>
    <w:p w:rsidR="00EB1ACF" w:rsidRDefault="00EB1ACF">
      <w:pPr>
        <w:spacing w:line="500" w:lineRule="atLeast"/>
        <w:jc w:val="right"/>
        <w:divId w:val="46876262"/>
        <w:rPr>
          <w:rFonts w:hint="eastAsia"/>
          <w:sz w:val="30"/>
          <w:szCs w:val="30"/>
        </w:rPr>
      </w:pPr>
      <w:r>
        <w:rPr>
          <w:rFonts w:hint="eastAsia"/>
          <w:sz w:val="30"/>
          <w:szCs w:val="30"/>
        </w:rPr>
        <w:t>书　记　员　　梁紫薇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1ACF" w:rsidRDefault="00EB1ACF" w:rsidP="00EB1ACF">
      <w:pPr>
        <w:rPr>
          <w:rFonts w:hint="eastAsia"/>
        </w:rPr>
      </w:pPr>
      <w:r>
        <w:separator/>
      </w:r>
    </w:p>
  </w:endnote>
  <w:endnote w:type="continuationSeparator" w:id="0">
    <w:p w:rsidR="00EB1ACF" w:rsidRDefault="00EB1ACF" w:rsidP="00EB1AC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1ACF" w:rsidRDefault="00EB1ACF" w:rsidP="00EB1ACF">
      <w:pPr>
        <w:rPr>
          <w:rFonts w:hint="eastAsia"/>
        </w:rPr>
      </w:pPr>
      <w:r>
        <w:separator/>
      </w:r>
    </w:p>
  </w:footnote>
  <w:footnote w:type="continuationSeparator" w:id="0">
    <w:p w:rsidR="00EB1ACF" w:rsidRDefault="00EB1ACF" w:rsidP="00EB1AC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1ACF"/>
    <w:rsid w:val="002A6721"/>
    <w:rsid w:val="00EB1A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B1ACF"/>
    <w:pPr>
      <w:tabs>
        <w:tab w:val="center" w:pos="4153"/>
        <w:tab w:val="right" w:pos="8306"/>
      </w:tabs>
      <w:snapToGrid w:val="0"/>
      <w:jc w:val="center"/>
    </w:pPr>
    <w:rPr>
      <w:sz w:val="18"/>
      <w:szCs w:val="18"/>
    </w:rPr>
  </w:style>
  <w:style w:type="character" w:customStyle="1" w:styleId="a4">
    <w:name w:val="页眉 字符"/>
    <w:basedOn w:val="a0"/>
    <w:link w:val="a3"/>
    <w:uiPriority w:val="99"/>
    <w:rsid w:val="00EB1ACF"/>
    <w:rPr>
      <w:rFonts w:ascii="宋体" w:eastAsia="宋体" w:hAnsi="宋体" w:cs="宋体"/>
      <w:sz w:val="18"/>
      <w:szCs w:val="18"/>
    </w:rPr>
  </w:style>
  <w:style w:type="paragraph" w:styleId="a5">
    <w:name w:val="footer"/>
    <w:basedOn w:val="a"/>
    <w:link w:val="a6"/>
    <w:uiPriority w:val="99"/>
    <w:unhideWhenUsed/>
    <w:rsid w:val="00EB1ACF"/>
    <w:pPr>
      <w:tabs>
        <w:tab w:val="center" w:pos="4153"/>
        <w:tab w:val="right" w:pos="8306"/>
      </w:tabs>
      <w:snapToGrid w:val="0"/>
    </w:pPr>
    <w:rPr>
      <w:sz w:val="18"/>
      <w:szCs w:val="18"/>
    </w:rPr>
  </w:style>
  <w:style w:type="character" w:customStyle="1" w:styleId="a6">
    <w:name w:val="页脚 字符"/>
    <w:basedOn w:val="a0"/>
    <w:link w:val="a5"/>
    <w:uiPriority w:val="99"/>
    <w:rsid w:val="00EB1AC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9652">
      <w:marLeft w:val="0"/>
      <w:marRight w:val="0"/>
      <w:marTop w:val="10"/>
      <w:marBottom w:val="10"/>
      <w:divBdr>
        <w:top w:val="none" w:sz="0" w:space="0" w:color="auto"/>
        <w:left w:val="none" w:sz="0" w:space="0" w:color="auto"/>
        <w:bottom w:val="none" w:sz="0" w:space="0" w:color="auto"/>
        <w:right w:val="none" w:sz="0" w:space="0" w:color="auto"/>
      </w:divBdr>
    </w:div>
    <w:div w:id="46876262">
      <w:marLeft w:val="0"/>
      <w:marRight w:val="720"/>
      <w:marTop w:val="10"/>
      <w:marBottom w:val="10"/>
      <w:divBdr>
        <w:top w:val="none" w:sz="0" w:space="0" w:color="auto"/>
        <w:left w:val="none" w:sz="0" w:space="0" w:color="auto"/>
        <w:bottom w:val="none" w:sz="0" w:space="0" w:color="auto"/>
        <w:right w:val="none" w:sz="0" w:space="0" w:color="auto"/>
      </w:divBdr>
    </w:div>
    <w:div w:id="101536622">
      <w:marLeft w:val="0"/>
      <w:marRight w:val="0"/>
      <w:marTop w:val="10"/>
      <w:marBottom w:val="10"/>
      <w:divBdr>
        <w:top w:val="none" w:sz="0" w:space="0" w:color="auto"/>
        <w:left w:val="none" w:sz="0" w:space="0" w:color="auto"/>
        <w:bottom w:val="none" w:sz="0" w:space="0" w:color="auto"/>
        <w:right w:val="none" w:sz="0" w:space="0" w:color="auto"/>
      </w:divBdr>
    </w:div>
    <w:div w:id="130296087">
      <w:marLeft w:val="0"/>
      <w:marRight w:val="720"/>
      <w:marTop w:val="10"/>
      <w:marBottom w:val="10"/>
      <w:divBdr>
        <w:top w:val="none" w:sz="0" w:space="0" w:color="auto"/>
        <w:left w:val="none" w:sz="0" w:space="0" w:color="auto"/>
        <w:bottom w:val="none" w:sz="0" w:space="0" w:color="auto"/>
        <w:right w:val="none" w:sz="0" w:space="0" w:color="auto"/>
      </w:divBdr>
    </w:div>
    <w:div w:id="368606572">
      <w:marLeft w:val="0"/>
      <w:marRight w:val="0"/>
      <w:marTop w:val="10"/>
      <w:marBottom w:val="10"/>
      <w:divBdr>
        <w:top w:val="none" w:sz="0" w:space="0" w:color="auto"/>
        <w:left w:val="none" w:sz="0" w:space="0" w:color="auto"/>
        <w:bottom w:val="none" w:sz="0" w:space="0" w:color="auto"/>
        <w:right w:val="none" w:sz="0" w:space="0" w:color="auto"/>
      </w:divBdr>
    </w:div>
    <w:div w:id="444545285">
      <w:marLeft w:val="0"/>
      <w:marRight w:val="720"/>
      <w:marTop w:val="10"/>
      <w:marBottom w:val="10"/>
      <w:divBdr>
        <w:top w:val="none" w:sz="0" w:space="0" w:color="auto"/>
        <w:left w:val="none" w:sz="0" w:space="0" w:color="auto"/>
        <w:bottom w:val="none" w:sz="0" w:space="0" w:color="auto"/>
        <w:right w:val="none" w:sz="0" w:space="0" w:color="auto"/>
      </w:divBdr>
    </w:div>
    <w:div w:id="550270696">
      <w:marLeft w:val="0"/>
      <w:marRight w:val="0"/>
      <w:marTop w:val="10"/>
      <w:marBottom w:val="10"/>
      <w:divBdr>
        <w:top w:val="none" w:sz="0" w:space="0" w:color="auto"/>
        <w:left w:val="none" w:sz="0" w:space="0" w:color="auto"/>
        <w:bottom w:val="none" w:sz="0" w:space="0" w:color="auto"/>
        <w:right w:val="none" w:sz="0" w:space="0" w:color="auto"/>
      </w:divBdr>
    </w:div>
    <w:div w:id="554466746">
      <w:marLeft w:val="0"/>
      <w:marRight w:val="0"/>
      <w:marTop w:val="10"/>
      <w:marBottom w:val="10"/>
      <w:divBdr>
        <w:top w:val="none" w:sz="0" w:space="0" w:color="auto"/>
        <w:left w:val="none" w:sz="0" w:space="0" w:color="auto"/>
        <w:bottom w:val="none" w:sz="0" w:space="0" w:color="auto"/>
        <w:right w:val="none" w:sz="0" w:space="0" w:color="auto"/>
      </w:divBdr>
    </w:div>
    <w:div w:id="756099077">
      <w:marLeft w:val="0"/>
      <w:marRight w:val="0"/>
      <w:marTop w:val="10"/>
      <w:marBottom w:val="10"/>
      <w:divBdr>
        <w:top w:val="none" w:sz="0" w:space="0" w:color="auto"/>
        <w:left w:val="none" w:sz="0" w:space="0" w:color="auto"/>
        <w:bottom w:val="none" w:sz="0" w:space="0" w:color="auto"/>
        <w:right w:val="none" w:sz="0" w:space="0" w:color="auto"/>
      </w:divBdr>
    </w:div>
    <w:div w:id="765611421">
      <w:marLeft w:val="0"/>
      <w:marRight w:val="0"/>
      <w:marTop w:val="10"/>
      <w:marBottom w:val="10"/>
      <w:divBdr>
        <w:top w:val="none" w:sz="0" w:space="0" w:color="auto"/>
        <w:left w:val="none" w:sz="0" w:space="0" w:color="auto"/>
        <w:bottom w:val="none" w:sz="0" w:space="0" w:color="auto"/>
        <w:right w:val="none" w:sz="0" w:space="0" w:color="auto"/>
      </w:divBdr>
    </w:div>
    <w:div w:id="953904810">
      <w:marLeft w:val="0"/>
      <w:marRight w:val="720"/>
      <w:marTop w:val="10"/>
      <w:marBottom w:val="10"/>
      <w:divBdr>
        <w:top w:val="none" w:sz="0" w:space="0" w:color="auto"/>
        <w:left w:val="none" w:sz="0" w:space="0" w:color="auto"/>
        <w:bottom w:val="none" w:sz="0" w:space="0" w:color="auto"/>
        <w:right w:val="none" w:sz="0" w:space="0" w:color="auto"/>
      </w:divBdr>
    </w:div>
    <w:div w:id="972103745">
      <w:marLeft w:val="0"/>
      <w:marRight w:val="0"/>
      <w:marTop w:val="10"/>
      <w:marBottom w:val="10"/>
      <w:divBdr>
        <w:top w:val="none" w:sz="0" w:space="0" w:color="auto"/>
        <w:left w:val="none" w:sz="0" w:space="0" w:color="auto"/>
        <w:bottom w:val="none" w:sz="0" w:space="0" w:color="auto"/>
        <w:right w:val="none" w:sz="0" w:space="0" w:color="auto"/>
      </w:divBdr>
    </w:div>
    <w:div w:id="975720048">
      <w:marLeft w:val="0"/>
      <w:marRight w:val="0"/>
      <w:marTop w:val="10"/>
      <w:marBottom w:val="10"/>
      <w:divBdr>
        <w:top w:val="none" w:sz="0" w:space="0" w:color="auto"/>
        <w:left w:val="none" w:sz="0" w:space="0" w:color="auto"/>
        <w:bottom w:val="none" w:sz="0" w:space="0" w:color="auto"/>
        <w:right w:val="none" w:sz="0" w:space="0" w:color="auto"/>
      </w:divBdr>
    </w:div>
    <w:div w:id="995300328">
      <w:marLeft w:val="0"/>
      <w:marRight w:val="0"/>
      <w:marTop w:val="10"/>
      <w:marBottom w:val="10"/>
      <w:divBdr>
        <w:top w:val="none" w:sz="0" w:space="0" w:color="auto"/>
        <w:left w:val="none" w:sz="0" w:space="0" w:color="auto"/>
        <w:bottom w:val="none" w:sz="0" w:space="0" w:color="auto"/>
        <w:right w:val="none" w:sz="0" w:space="0" w:color="auto"/>
      </w:divBdr>
    </w:div>
    <w:div w:id="1160609643">
      <w:marLeft w:val="0"/>
      <w:marRight w:val="0"/>
      <w:marTop w:val="10"/>
      <w:marBottom w:val="10"/>
      <w:divBdr>
        <w:top w:val="none" w:sz="0" w:space="0" w:color="auto"/>
        <w:left w:val="none" w:sz="0" w:space="0" w:color="auto"/>
        <w:bottom w:val="none" w:sz="0" w:space="0" w:color="auto"/>
        <w:right w:val="none" w:sz="0" w:space="0" w:color="auto"/>
      </w:divBdr>
    </w:div>
    <w:div w:id="1249726592">
      <w:marLeft w:val="0"/>
      <w:marRight w:val="0"/>
      <w:marTop w:val="10"/>
      <w:marBottom w:val="10"/>
      <w:divBdr>
        <w:top w:val="none" w:sz="0" w:space="0" w:color="auto"/>
        <w:left w:val="none" w:sz="0" w:space="0" w:color="auto"/>
        <w:bottom w:val="none" w:sz="0" w:space="0" w:color="auto"/>
        <w:right w:val="none" w:sz="0" w:space="0" w:color="auto"/>
      </w:divBdr>
    </w:div>
    <w:div w:id="1468470456">
      <w:marLeft w:val="0"/>
      <w:marRight w:val="0"/>
      <w:marTop w:val="10"/>
      <w:marBottom w:val="10"/>
      <w:divBdr>
        <w:top w:val="none" w:sz="0" w:space="0" w:color="auto"/>
        <w:left w:val="none" w:sz="0" w:space="0" w:color="auto"/>
        <w:bottom w:val="none" w:sz="0" w:space="0" w:color="auto"/>
        <w:right w:val="none" w:sz="0" w:space="0" w:color="auto"/>
      </w:divBdr>
    </w:div>
    <w:div w:id="1507793788">
      <w:marLeft w:val="0"/>
      <w:marRight w:val="0"/>
      <w:marTop w:val="10"/>
      <w:marBottom w:val="10"/>
      <w:divBdr>
        <w:top w:val="none" w:sz="0" w:space="0" w:color="auto"/>
        <w:left w:val="none" w:sz="0" w:space="0" w:color="auto"/>
        <w:bottom w:val="none" w:sz="0" w:space="0" w:color="auto"/>
        <w:right w:val="none" w:sz="0" w:space="0" w:color="auto"/>
      </w:divBdr>
    </w:div>
    <w:div w:id="1549953379">
      <w:marLeft w:val="0"/>
      <w:marRight w:val="720"/>
      <w:marTop w:val="10"/>
      <w:marBottom w:val="10"/>
      <w:divBdr>
        <w:top w:val="none" w:sz="0" w:space="0" w:color="auto"/>
        <w:left w:val="none" w:sz="0" w:space="0" w:color="auto"/>
        <w:bottom w:val="none" w:sz="0" w:space="0" w:color="auto"/>
        <w:right w:val="none" w:sz="0" w:space="0" w:color="auto"/>
      </w:divBdr>
    </w:div>
    <w:div w:id="1564877203">
      <w:marLeft w:val="0"/>
      <w:marRight w:val="0"/>
      <w:marTop w:val="10"/>
      <w:marBottom w:val="10"/>
      <w:divBdr>
        <w:top w:val="none" w:sz="0" w:space="0" w:color="auto"/>
        <w:left w:val="none" w:sz="0" w:space="0" w:color="auto"/>
        <w:bottom w:val="none" w:sz="0" w:space="0" w:color="auto"/>
        <w:right w:val="none" w:sz="0" w:space="0" w:color="auto"/>
      </w:divBdr>
    </w:div>
    <w:div w:id="1657608304">
      <w:marLeft w:val="0"/>
      <w:marRight w:val="0"/>
      <w:marTop w:val="10"/>
      <w:marBottom w:val="10"/>
      <w:divBdr>
        <w:top w:val="none" w:sz="0" w:space="0" w:color="auto"/>
        <w:left w:val="none" w:sz="0" w:space="0" w:color="auto"/>
        <w:bottom w:val="none" w:sz="0" w:space="0" w:color="auto"/>
        <w:right w:val="none" w:sz="0" w:space="0" w:color="auto"/>
      </w:divBdr>
    </w:div>
    <w:div w:id="1685396499">
      <w:marLeft w:val="0"/>
      <w:marRight w:val="0"/>
      <w:marTop w:val="10"/>
      <w:marBottom w:val="10"/>
      <w:divBdr>
        <w:top w:val="none" w:sz="0" w:space="0" w:color="auto"/>
        <w:left w:val="none" w:sz="0" w:space="0" w:color="auto"/>
        <w:bottom w:val="none" w:sz="0" w:space="0" w:color="auto"/>
        <w:right w:val="none" w:sz="0" w:space="0" w:color="auto"/>
      </w:divBdr>
    </w:div>
    <w:div w:id="1718158328">
      <w:marLeft w:val="0"/>
      <w:marRight w:val="0"/>
      <w:marTop w:val="10"/>
      <w:marBottom w:val="10"/>
      <w:divBdr>
        <w:top w:val="none" w:sz="0" w:space="0" w:color="auto"/>
        <w:left w:val="none" w:sz="0" w:space="0" w:color="auto"/>
        <w:bottom w:val="none" w:sz="0" w:space="0" w:color="auto"/>
        <w:right w:val="none" w:sz="0" w:space="0" w:color="auto"/>
      </w:divBdr>
    </w:div>
    <w:div w:id="1720857384">
      <w:marLeft w:val="0"/>
      <w:marRight w:val="0"/>
      <w:marTop w:val="10"/>
      <w:marBottom w:val="10"/>
      <w:divBdr>
        <w:top w:val="none" w:sz="0" w:space="0" w:color="auto"/>
        <w:left w:val="none" w:sz="0" w:space="0" w:color="auto"/>
        <w:bottom w:val="none" w:sz="0" w:space="0" w:color="auto"/>
        <w:right w:val="none" w:sz="0" w:space="0" w:color="auto"/>
      </w:divBdr>
    </w:div>
    <w:div w:id="17631821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397</Words>
  <Characters>2264</Characters>
  <Application>Microsoft Office Word</Application>
  <DocSecurity>0</DocSecurity>
  <Lines>18</Lines>
  <Paragraphs>5</Paragraphs>
  <ScaleCrop>false</ScaleCrop>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