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0834" w:rsidRDefault="00C00834">
      <w:pPr>
        <w:spacing w:line="500" w:lineRule="atLeast"/>
        <w:jc w:val="center"/>
        <w:divId w:val="1575043056"/>
        <w:rPr>
          <w:rFonts w:ascii="黑体" w:eastAsia="黑体" w:hAnsi="黑体"/>
          <w:sz w:val="36"/>
          <w:szCs w:val="36"/>
        </w:rPr>
      </w:pPr>
      <w:r>
        <w:rPr>
          <w:rFonts w:ascii="黑体" w:eastAsia="黑体" w:hAnsi="黑体" w:hint="eastAsia"/>
          <w:sz w:val="36"/>
          <w:szCs w:val="36"/>
        </w:rPr>
        <w:t>广东省佛山市南海区人民法院</w:t>
      </w:r>
    </w:p>
    <w:p w:rsidR="00C00834" w:rsidRDefault="00C00834">
      <w:pPr>
        <w:spacing w:line="500" w:lineRule="atLeast"/>
        <w:jc w:val="center"/>
        <w:divId w:val="17536219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00834" w:rsidRDefault="00C00834">
      <w:pPr>
        <w:spacing w:line="500" w:lineRule="atLeast"/>
        <w:jc w:val="right"/>
        <w:divId w:val="403383538"/>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35</w:t>
      </w:r>
      <w:r>
        <w:rPr>
          <w:rFonts w:hint="eastAsia"/>
          <w:sz w:val="30"/>
          <w:szCs w:val="30"/>
        </w:rPr>
        <w:t>号</w:t>
      </w:r>
    </w:p>
    <w:p w:rsidR="00C00834" w:rsidRDefault="00C00834">
      <w:pPr>
        <w:spacing w:line="500" w:lineRule="atLeast"/>
        <w:ind w:firstLine="600"/>
        <w:divId w:val="1844541218"/>
        <w:rPr>
          <w:rFonts w:hint="eastAsia"/>
          <w:sz w:val="30"/>
          <w:szCs w:val="30"/>
        </w:rPr>
      </w:pPr>
      <w:r>
        <w:rPr>
          <w:rFonts w:hint="eastAsia"/>
          <w:sz w:val="30"/>
          <w:szCs w:val="30"/>
        </w:rPr>
        <w:t>公诉机关佛山市南海区人民检察院。</w:t>
      </w:r>
    </w:p>
    <w:p w:rsidR="00C00834" w:rsidRDefault="00C00834">
      <w:pPr>
        <w:spacing w:line="500" w:lineRule="atLeast"/>
        <w:ind w:firstLine="600"/>
        <w:divId w:val="61417651"/>
        <w:rPr>
          <w:rFonts w:hint="eastAsia"/>
          <w:sz w:val="30"/>
          <w:szCs w:val="30"/>
        </w:rPr>
      </w:pPr>
      <w:r>
        <w:rPr>
          <w:rFonts w:hint="eastAsia"/>
          <w:sz w:val="30"/>
          <w:szCs w:val="30"/>
        </w:rPr>
        <w:t>被告人黄耀辉，男，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日出生于佛山市顺德区，汉族，初中文化，佛山市高明区万某石业有限公司原股东，住顺德区，因本案于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日被采取留置措施，同年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日被刑事拘留，同月</w:t>
      </w:r>
      <w:r>
        <w:rPr>
          <w:rFonts w:hint="eastAsia"/>
          <w:sz w:val="30"/>
          <w:szCs w:val="30"/>
        </w:rPr>
        <w:t>30</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日被取保候审，同月</w:t>
      </w:r>
      <w:r>
        <w:rPr>
          <w:rFonts w:hint="eastAsia"/>
          <w:sz w:val="30"/>
          <w:szCs w:val="30"/>
        </w:rPr>
        <w:t>16</w:t>
      </w:r>
      <w:r>
        <w:rPr>
          <w:rFonts w:hint="eastAsia"/>
          <w:sz w:val="30"/>
          <w:szCs w:val="30"/>
        </w:rPr>
        <w:t>日被逮捕，现押于南海区看守所。</w:t>
      </w:r>
    </w:p>
    <w:p w:rsidR="00C00834" w:rsidRDefault="00C00834">
      <w:pPr>
        <w:spacing w:line="500" w:lineRule="atLeast"/>
        <w:ind w:firstLine="600"/>
        <w:divId w:val="1762525949"/>
        <w:rPr>
          <w:rFonts w:hint="eastAsia"/>
          <w:sz w:val="30"/>
          <w:szCs w:val="30"/>
        </w:rPr>
      </w:pPr>
      <w:r>
        <w:rPr>
          <w:rFonts w:hint="eastAsia"/>
          <w:sz w:val="30"/>
          <w:szCs w:val="30"/>
        </w:rPr>
        <w:t>辩护人李志兴，广东泽誉律师事务所律师。</w:t>
      </w:r>
    </w:p>
    <w:p w:rsidR="00C00834" w:rsidRDefault="00C00834">
      <w:pPr>
        <w:spacing w:line="500" w:lineRule="atLeast"/>
        <w:ind w:firstLine="600"/>
        <w:divId w:val="942541748"/>
        <w:rPr>
          <w:rFonts w:hint="eastAsia"/>
          <w:sz w:val="30"/>
          <w:szCs w:val="30"/>
        </w:rPr>
      </w:pPr>
      <w:r>
        <w:rPr>
          <w:rFonts w:hint="eastAsia"/>
          <w:sz w:val="30"/>
          <w:szCs w:val="30"/>
        </w:rPr>
        <w:t>佛山市南海区人民检察院以佛南检公诉刑诉</w:t>
      </w:r>
      <w:r>
        <w:rPr>
          <w:rFonts w:hint="eastAsia"/>
          <w:sz w:val="30"/>
          <w:szCs w:val="30"/>
        </w:rPr>
        <w:t>[2018]4781</w:t>
      </w:r>
      <w:r>
        <w:rPr>
          <w:rFonts w:hint="eastAsia"/>
          <w:sz w:val="30"/>
          <w:szCs w:val="30"/>
        </w:rPr>
        <w:t>号起诉书指控被告人黄耀辉犯单位行贿罪，于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适用普通程序，组成合议庭，公开开庭审理了本案。南海区人民检察院指派检察员王晶晶出庭支持公诉，黄耀辉及其辩护人李志兴均到庭参加了诉讼。本案因公诉机关补充侦查而延期审理，现已审理终结。</w:t>
      </w:r>
    </w:p>
    <w:p w:rsidR="00C00834" w:rsidRDefault="00C00834">
      <w:pPr>
        <w:spacing w:line="500" w:lineRule="atLeast"/>
        <w:ind w:firstLine="600"/>
        <w:divId w:val="312565659"/>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黄耀辉所在的佛山市高明区万某石业有限公司（以下简称万某公司）为谋取不正当利益，由担任该公司股东的黄耀辉经手给予佛山市国土资源和城乡规划局地质环境与矿产资源管理科科长张某现金共计</w:t>
      </w:r>
      <w:r>
        <w:rPr>
          <w:rFonts w:hint="eastAsia"/>
          <w:sz w:val="30"/>
          <w:szCs w:val="30"/>
        </w:rPr>
        <w:t>150</w:t>
      </w:r>
      <w:r>
        <w:rPr>
          <w:rFonts w:hint="eastAsia"/>
          <w:sz w:val="30"/>
          <w:szCs w:val="30"/>
        </w:rPr>
        <w:t>万元。具体事实如下：</w:t>
      </w:r>
    </w:p>
    <w:p w:rsidR="00C00834" w:rsidRDefault="00C00834">
      <w:pPr>
        <w:spacing w:line="500" w:lineRule="atLeast"/>
        <w:ind w:firstLine="600"/>
        <w:divId w:val="1609268963"/>
        <w:rPr>
          <w:rFonts w:hint="eastAsia"/>
          <w:sz w:val="30"/>
          <w:szCs w:val="30"/>
        </w:rPr>
      </w:pPr>
      <w:r>
        <w:rPr>
          <w:rFonts w:hint="eastAsia"/>
          <w:sz w:val="30"/>
          <w:szCs w:val="30"/>
        </w:rPr>
        <w:t>一、</w:t>
      </w:r>
      <w:r>
        <w:rPr>
          <w:rFonts w:hint="eastAsia"/>
          <w:sz w:val="30"/>
          <w:szCs w:val="30"/>
        </w:rPr>
        <w:t>2013</w:t>
      </w:r>
      <w:r>
        <w:rPr>
          <w:rFonts w:hint="eastAsia"/>
          <w:sz w:val="30"/>
          <w:szCs w:val="30"/>
        </w:rPr>
        <w:t>年上半年的一天，被告人黄耀辉联系张某帮助万某公司办理采矿权延续期限问题，办理成功后为感谢张某在该过程中的帮助，送给张某现金</w:t>
      </w:r>
      <w:r>
        <w:rPr>
          <w:rFonts w:hint="eastAsia"/>
          <w:sz w:val="30"/>
          <w:szCs w:val="30"/>
        </w:rPr>
        <w:t>40</w:t>
      </w:r>
      <w:r>
        <w:rPr>
          <w:rFonts w:hint="eastAsia"/>
          <w:sz w:val="30"/>
          <w:szCs w:val="30"/>
        </w:rPr>
        <w:t>万元。</w:t>
      </w:r>
    </w:p>
    <w:p w:rsidR="00C00834" w:rsidRDefault="00C00834">
      <w:pPr>
        <w:spacing w:line="500" w:lineRule="atLeast"/>
        <w:ind w:firstLine="600"/>
        <w:divId w:val="1990359677"/>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年间，为谋求和感谢张某对万某公司石场经营事宜的帮助，由被告人黄耀辉经手先后四次送给张某现金共计</w:t>
      </w:r>
      <w:r>
        <w:rPr>
          <w:rFonts w:hint="eastAsia"/>
          <w:sz w:val="30"/>
          <w:szCs w:val="30"/>
        </w:rPr>
        <w:t>30</w:t>
      </w:r>
      <w:r>
        <w:rPr>
          <w:rFonts w:hint="eastAsia"/>
          <w:sz w:val="30"/>
          <w:szCs w:val="30"/>
        </w:rPr>
        <w:t>万元。</w:t>
      </w:r>
    </w:p>
    <w:p w:rsidR="00C00834" w:rsidRDefault="00C00834">
      <w:pPr>
        <w:spacing w:line="500" w:lineRule="atLeast"/>
        <w:ind w:firstLine="600"/>
        <w:divId w:val="1268123291"/>
        <w:rPr>
          <w:rFonts w:hint="eastAsia"/>
          <w:sz w:val="30"/>
          <w:szCs w:val="30"/>
        </w:rPr>
      </w:pPr>
      <w:r>
        <w:rPr>
          <w:rFonts w:hint="eastAsia"/>
          <w:sz w:val="30"/>
          <w:szCs w:val="30"/>
        </w:rPr>
        <w:lastRenderedPageBreak/>
        <w:t>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月间，为感谢张某对万某公司股权转让事宜的帮助和寻求继续关照，由被告人黄耀辉经手送给张某现金</w:t>
      </w:r>
      <w:r>
        <w:rPr>
          <w:rFonts w:hint="eastAsia"/>
          <w:sz w:val="30"/>
          <w:szCs w:val="30"/>
        </w:rPr>
        <w:t>80</w:t>
      </w:r>
      <w:r>
        <w:rPr>
          <w:rFonts w:hint="eastAsia"/>
          <w:sz w:val="30"/>
          <w:szCs w:val="30"/>
        </w:rPr>
        <w:t>万元。</w:t>
      </w:r>
    </w:p>
    <w:p w:rsidR="00C00834" w:rsidRDefault="00C00834">
      <w:pPr>
        <w:spacing w:line="500" w:lineRule="atLeast"/>
        <w:ind w:firstLine="600"/>
        <w:divId w:val="1856915511"/>
        <w:rPr>
          <w:rFonts w:hint="eastAsia"/>
          <w:sz w:val="30"/>
          <w:szCs w:val="30"/>
        </w:rPr>
      </w:pPr>
      <w:r>
        <w:rPr>
          <w:rFonts w:hint="eastAsia"/>
          <w:sz w:val="30"/>
          <w:szCs w:val="30"/>
        </w:rPr>
        <w:t>就上述指控，公诉机关向法庭出示了相关证据予以证实，并认为被告人黄耀辉的行为已触犯了《中华人民共和国刑法》第三百九十三条之规定，应当以单位行贿罪追究其刑事责任；黄耀辉如实供述自己的罪行，应当依照《中华人民共和国刑法》第六十七条第三款之规定处罚。</w:t>
      </w:r>
    </w:p>
    <w:p w:rsidR="00C00834" w:rsidRDefault="00C00834">
      <w:pPr>
        <w:spacing w:line="500" w:lineRule="atLeast"/>
        <w:ind w:firstLine="600"/>
        <w:divId w:val="2029287934"/>
        <w:rPr>
          <w:rFonts w:hint="eastAsia"/>
          <w:sz w:val="30"/>
          <w:szCs w:val="30"/>
        </w:rPr>
      </w:pPr>
      <w:r>
        <w:rPr>
          <w:rFonts w:hint="eastAsia"/>
          <w:sz w:val="30"/>
          <w:szCs w:val="30"/>
        </w:rPr>
        <w:t>被告人黄耀辉辩称第三宗事实中的</w:t>
      </w:r>
      <w:r>
        <w:rPr>
          <w:rFonts w:hint="eastAsia"/>
          <w:sz w:val="30"/>
          <w:szCs w:val="30"/>
        </w:rPr>
        <w:t>80</w:t>
      </w:r>
      <w:r>
        <w:rPr>
          <w:rFonts w:hint="eastAsia"/>
          <w:sz w:val="30"/>
          <w:szCs w:val="30"/>
        </w:rPr>
        <w:t>万元是介绍费，对公诉机关的其他指控无异议。</w:t>
      </w:r>
    </w:p>
    <w:p w:rsidR="00C00834" w:rsidRDefault="00C00834">
      <w:pPr>
        <w:spacing w:line="500" w:lineRule="atLeast"/>
        <w:ind w:firstLine="600"/>
        <w:divId w:val="882138467"/>
        <w:rPr>
          <w:rFonts w:hint="eastAsia"/>
          <w:sz w:val="30"/>
          <w:szCs w:val="30"/>
        </w:rPr>
      </w:pPr>
      <w:r>
        <w:rPr>
          <w:rFonts w:hint="eastAsia"/>
          <w:sz w:val="30"/>
          <w:szCs w:val="30"/>
        </w:rPr>
        <w:t>辩护人辩称，</w:t>
      </w:r>
      <w:r>
        <w:rPr>
          <w:rFonts w:hint="eastAsia"/>
          <w:sz w:val="30"/>
          <w:szCs w:val="30"/>
        </w:rPr>
        <w:t>1.</w:t>
      </w:r>
      <w:r>
        <w:rPr>
          <w:rFonts w:hint="eastAsia"/>
          <w:sz w:val="30"/>
          <w:szCs w:val="30"/>
        </w:rPr>
        <w:t>在指控的第三宗事实中，被告人黄耀辉主观上没有谋取不正当利益的目的，张某也没有利用职务便利为万某公司谋取不正当利益，涉案</w:t>
      </w:r>
      <w:r>
        <w:rPr>
          <w:rFonts w:hint="eastAsia"/>
          <w:sz w:val="30"/>
          <w:szCs w:val="30"/>
        </w:rPr>
        <w:t>80</w:t>
      </w:r>
      <w:r>
        <w:rPr>
          <w:rFonts w:hint="eastAsia"/>
          <w:sz w:val="30"/>
          <w:szCs w:val="30"/>
        </w:rPr>
        <w:t>万元的性质是介绍费；</w:t>
      </w:r>
      <w:r>
        <w:rPr>
          <w:rFonts w:hint="eastAsia"/>
          <w:sz w:val="30"/>
          <w:szCs w:val="30"/>
        </w:rPr>
        <w:t>2.</w:t>
      </w:r>
      <w:r>
        <w:rPr>
          <w:rFonts w:hint="eastAsia"/>
          <w:sz w:val="30"/>
          <w:szCs w:val="30"/>
        </w:rPr>
        <w:t>黄耀辉认罪态度好、对石材行业的发展作了突出贡献，请求对其从轻或减轻处罚并适用缓刑。</w:t>
      </w:r>
    </w:p>
    <w:p w:rsidR="00C00834" w:rsidRDefault="00C00834">
      <w:pPr>
        <w:spacing w:line="500" w:lineRule="atLeast"/>
        <w:ind w:firstLine="600"/>
        <w:divId w:val="1386567609"/>
        <w:rPr>
          <w:rFonts w:hint="eastAsia"/>
          <w:sz w:val="30"/>
          <w:szCs w:val="30"/>
        </w:rPr>
      </w:pPr>
      <w:r>
        <w:rPr>
          <w:rFonts w:hint="eastAsia"/>
          <w:sz w:val="30"/>
          <w:szCs w:val="30"/>
        </w:rPr>
        <w:t>经审理查明，公诉机关指控被告人黄耀辉单位行贿的事实清楚，证据确实、充分，本院予以确认。</w:t>
      </w:r>
    </w:p>
    <w:p w:rsidR="00C00834" w:rsidRDefault="00C00834">
      <w:pPr>
        <w:spacing w:line="500" w:lineRule="atLeast"/>
        <w:ind w:firstLine="600"/>
        <w:divId w:val="2049986072"/>
        <w:rPr>
          <w:rFonts w:hint="eastAsia"/>
          <w:sz w:val="30"/>
          <w:szCs w:val="30"/>
        </w:rPr>
      </w:pPr>
      <w:r>
        <w:rPr>
          <w:rFonts w:hint="eastAsia"/>
          <w:sz w:val="30"/>
          <w:szCs w:val="30"/>
        </w:rPr>
        <w:t>关于被告人黄耀辉提出的第三宗事实中的</w:t>
      </w:r>
      <w:r>
        <w:rPr>
          <w:rFonts w:hint="eastAsia"/>
          <w:sz w:val="30"/>
          <w:szCs w:val="30"/>
        </w:rPr>
        <w:t>80</w:t>
      </w:r>
      <w:r>
        <w:rPr>
          <w:rFonts w:hint="eastAsia"/>
          <w:sz w:val="30"/>
          <w:szCs w:val="30"/>
        </w:rPr>
        <w:t>万元是介绍费的辩解及其辩护人提出的相关辩护意见，经查，综合张某的证言和黄耀辉的供述，黄耀辉之所以给予张某</w:t>
      </w:r>
      <w:r>
        <w:rPr>
          <w:rFonts w:hint="eastAsia"/>
          <w:sz w:val="30"/>
          <w:szCs w:val="30"/>
        </w:rPr>
        <w:t>80</w:t>
      </w:r>
      <w:r>
        <w:rPr>
          <w:rFonts w:hint="eastAsia"/>
          <w:sz w:val="30"/>
          <w:szCs w:val="30"/>
        </w:rPr>
        <w:t>万元，是基于或者至少更主要是基于张某介绍了何某等人向其购买万某公司的股权，与张某的职务行为并无关联，因此该笔款项不认定为贿赂款为宜，采纳黄耀辉的相关辩解及其辩护人的相关辩护意见。</w:t>
      </w:r>
    </w:p>
    <w:p w:rsidR="00C00834" w:rsidRDefault="00C00834">
      <w:pPr>
        <w:spacing w:line="500" w:lineRule="atLeast"/>
        <w:ind w:firstLine="600"/>
        <w:divId w:val="492837660"/>
        <w:rPr>
          <w:rFonts w:hint="eastAsia"/>
          <w:sz w:val="30"/>
          <w:szCs w:val="30"/>
        </w:rPr>
      </w:pPr>
      <w:r>
        <w:rPr>
          <w:rFonts w:hint="eastAsia"/>
          <w:sz w:val="30"/>
          <w:szCs w:val="30"/>
        </w:rPr>
        <w:t>本院认为，万某公司为谋取不正当利益而向国家工作人员行贿，情节严重，被告人黄耀辉作为直接负责的主管人员，其行为已构成单位行贿罪。公诉机关所控罪名成立。黄耀辉归案后如实供述自己的罪行，依法从轻处罚，采纳辩护人的相关辩护意见。依照</w:t>
      </w:r>
      <w:r>
        <w:rPr>
          <w:rFonts w:hint="eastAsia"/>
          <w:sz w:val="30"/>
          <w:szCs w:val="30"/>
        </w:rPr>
        <w:t>1997</w:t>
      </w:r>
      <w:r>
        <w:rPr>
          <w:rFonts w:hint="eastAsia"/>
          <w:sz w:val="30"/>
          <w:szCs w:val="30"/>
        </w:rPr>
        <w:t>年修订的《中华人民共和国刑法》第三百九十三条和《中华人民共和国刑法》第十二条、第六十七条第三款之规定，判决如下：</w:t>
      </w:r>
    </w:p>
    <w:p w:rsidR="00C00834" w:rsidRDefault="00C00834">
      <w:pPr>
        <w:spacing w:line="500" w:lineRule="atLeast"/>
        <w:ind w:firstLine="600"/>
        <w:divId w:val="431173264"/>
        <w:rPr>
          <w:rFonts w:hint="eastAsia"/>
          <w:sz w:val="30"/>
          <w:szCs w:val="30"/>
        </w:rPr>
      </w:pPr>
      <w:r>
        <w:rPr>
          <w:rFonts w:hint="eastAsia"/>
          <w:sz w:val="30"/>
          <w:szCs w:val="30"/>
        </w:rPr>
        <w:t>被告人黄耀辉犯单位行贿罪，判处有期徒刑一年三个月（刑期从判决执行之日起计算。判决执行以前先行羁押的，羁押一日折抵刑期一日，即自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日止）。</w:t>
      </w:r>
    </w:p>
    <w:p w:rsidR="00C00834" w:rsidRDefault="00C00834">
      <w:pPr>
        <w:spacing w:line="500" w:lineRule="atLeast"/>
        <w:ind w:firstLine="600"/>
        <w:divId w:val="131406667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C00834" w:rsidRDefault="00C00834">
      <w:pPr>
        <w:spacing w:line="500" w:lineRule="atLeast"/>
        <w:jc w:val="right"/>
        <w:divId w:val="70587720"/>
        <w:rPr>
          <w:rFonts w:hint="eastAsia"/>
          <w:sz w:val="30"/>
          <w:szCs w:val="30"/>
        </w:rPr>
      </w:pPr>
      <w:r>
        <w:rPr>
          <w:rFonts w:hint="eastAsia"/>
          <w:sz w:val="30"/>
          <w:szCs w:val="30"/>
        </w:rPr>
        <w:t>审　判　长　　黄丛西</w:t>
      </w:r>
    </w:p>
    <w:p w:rsidR="00C00834" w:rsidRDefault="00C00834">
      <w:pPr>
        <w:spacing w:line="500" w:lineRule="atLeast"/>
        <w:jc w:val="right"/>
        <w:divId w:val="2035228484"/>
        <w:rPr>
          <w:rFonts w:hint="eastAsia"/>
          <w:sz w:val="30"/>
          <w:szCs w:val="30"/>
        </w:rPr>
      </w:pPr>
      <w:r>
        <w:rPr>
          <w:rFonts w:hint="eastAsia"/>
          <w:sz w:val="30"/>
          <w:szCs w:val="30"/>
        </w:rPr>
        <w:t>人民陪审员　　李渭雄</w:t>
      </w:r>
    </w:p>
    <w:p w:rsidR="00C00834" w:rsidRDefault="00C00834">
      <w:pPr>
        <w:spacing w:line="500" w:lineRule="atLeast"/>
        <w:jc w:val="right"/>
        <w:divId w:val="1948778529"/>
        <w:rPr>
          <w:rFonts w:hint="eastAsia"/>
          <w:sz w:val="30"/>
          <w:szCs w:val="30"/>
        </w:rPr>
      </w:pPr>
      <w:r>
        <w:rPr>
          <w:rFonts w:hint="eastAsia"/>
          <w:sz w:val="30"/>
          <w:szCs w:val="30"/>
        </w:rPr>
        <w:t>人民陪审员　　陈少英</w:t>
      </w:r>
    </w:p>
    <w:p w:rsidR="00C00834" w:rsidRDefault="00C00834">
      <w:pPr>
        <w:spacing w:line="500" w:lineRule="atLeast"/>
        <w:jc w:val="right"/>
        <w:divId w:val="1993562165"/>
        <w:rPr>
          <w:rFonts w:hint="eastAsia"/>
          <w:sz w:val="30"/>
          <w:szCs w:val="30"/>
        </w:rPr>
      </w:pPr>
      <w:r>
        <w:rPr>
          <w:rFonts w:hint="eastAsia"/>
          <w:sz w:val="30"/>
          <w:szCs w:val="30"/>
        </w:rPr>
        <w:t>二〇一九年十二月二十八日</w:t>
      </w:r>
    </w:p>
    <w:p w:rsidR="00C00834" w:rsidRDefault="00C00834">
      <w:pPr>
        <w:spacing w:line="500" w:lineRule="atLeast"/>
        <w:ind w:firstLine="600"/>
        <w:divId w:val="359287601"/>
        <w:rPr>
          <w:rFonts w:hint="eastAsia"/>
          <w:sz w:val="30"/>
          <w:szCs w:val="30"/>
        </w:rPr>
      </w:pPr>
      <w:r>
        <w:rPr>
          <w:rFonts w:hint="eastAsia"/>
          <w:sz w:val="30"/>
          <w:szCs w:val="30"/>
        </w:rPr>
        <w:t>法官助理徐传村</w:t>
      </w:r>
    </w:p>
    <w:p w:rsidR="00C00834" w:rsidRDefault="00C00834">
      <w:pPr>
        <w:spacing w:line="500" w:lineRule="atLeast"/>
        <w:ind w:firstLine="600"/>
        <w:divId w:val="1155102417"/>
        <w:rPr>
          <w:rFonts w:hint="eastAsia"/>
          <w:sz w:val="30"/>
          <w:szCs w:val="30"/>
        </w:rPr>
      </w:pPr>
      <w:r>
        <w:rPr>
          <w:rFonts w:hint="eastAsia"/>
          <w:sz w:val="30"/>
          <w:szCs w:val="30"/>
        </w:rPr>
        <w:t>书记员杜思雨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0834" w:rsidRDefault="00C00834" w:rsidP="00C00834">
      <w:pPr>
        <w:rPr>
          <w:rFonts w:hint="eastAsia"/>
        </w:rPr>
      </w:pPr>
      <w:r>
        <w:separator/>
      </w:r>
    </w:p>
  </w:endnote>
  <w:endnote w:type="continuationSeparator" w:id="0">
    <w:p w:rsidR="00C00834" w:rsidRDefault="00C00834" w:rsidP="00C008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0834" w:rsidRDefault="00C00834" w:rsidP="00C00834">
      <w:pPr>
        <w:rPr>
          <w:rFonts w:hint="eastAsia"/>
        </w:rPr>
      </w:pPr>
      <w:r>
        <w:separator/>
      </w:r>
    </w:p>
  </w:footnote>
  <w:footnote w:type="continuationSeparator" w:id="0">
    <w:p w:rsidR="00C00834" w:rsidRDefault="00C00834" w:rsidP="00C008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0834"/>
    <w:rsid w:val="002A6721"/>
    <w:rsid w:val="00C00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0834"/>
    <w:pPr>
      <w:tabs>
        <w:tab w:val="center" w:pos="4153"/>
        <w:tab w:val="right" w:pos="8306"/>
      </w:tabs>
      <w:snapToGrid w:val="0"/>
      <w:jc w:val="center"/>
    </w:pPr>
    <w:rPr>
      <w:sz w:val="18"/>
      <w:szCs w:val="18"/>
    </w:rPr>
  </w:style>
  <w:style w:type="character" w:customStyle="1" w:styleId="a4">
    <w:name w:val="页眉 字符"/>
    <w:basedOn w:val="a0"/>
    <w:link w:val="a3"/>
    <w:uiPriority w:val="99"/>
    <w:rsid w:val="00C00834"/>
    <w:rPr>
      <w:rFonts w:ascii="宋体" w:eastAsia="宋体" w:hAnsi="宋体" w:cs="宋体"/>
      <w:sz w:val="18"/>
      <w:szCs w:val="18"/>
    </w:rPr>
  </w:style>
  <w:style w:type="paragraph" w:styleId="a5">
    <w:name w:val="footer"/>
    <w:basedOn w:val="a"/>
    <w:link w:val="a6"/>
    <w:uiPriority w:val="99"/>
    <w:unhideWhenUsed/>
    <w:rsid w:val="00C00834"/>
    <w:pPr>
      <w:tabs>
        <w:tab w:val="center" w:pos="4153"/>
        <w:tab w:val="right" w:pos="8306"/>
      </w:tabs>
      <w:snapToGrid w:val="0"/>
    </w:pPr>
    <w:rPr>
      <w:sz w:val="18"/>
      <w:szCs w:val="18"/>
    </w:rPr>
  </w:style>
  <w:style w:type="character" w:customStyle="1" w:styleId="a6">
    <w:name w:val="页脚 字符"/>
    <w:basedOn w:val="a0"/>
    <w:link w:val="a5"/>
    <w:uiPriority w:val="99"/>
    <w:rsid w:val="00C008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7651">
      <w:marLeft w:val="0"/>
      <w:marRight w:val="0"/>
      <w:marTop w:val="10"/>
      <w:marBottom w:val="10"/>
      <w:divBdr>
        <w:top w:val="none" w:sz="0" w:space="0" w:color="auto"/>
        <w:left w:val="none" w:sz="0" w:space="0" w:color="auto"/>
        <w:bottom w:val="none" w:sz="0" w:space="0" w:color="auto"/>
        <w:right w:val="none" w:sz="0" w:space="0" w:color="auto"/>
      </w:divBdr>
    </w:div>
    <w:div w:id="70587720">
      <w:marLeft w:val="0"/>
      <w:marRight w:val="720"/>
      <w:marTop w:val="10"/>
      <w:marBottom w:val="10"/>
      <w:divBdr>
        <w:top w:val="none" w:sz="0" w:space="0" w:color="auto"/>
        <w:left w:val="none" w:sz="0" w:space="0" w:color="auto"/>
        <w:bottom w:val="none" w:sz="0" w:space="0" w:color="auto"/>
        <w:right w:val="none" w:sz="0" w:space="0" w:color="auto"/>
      </w:divBdr>
    </w:div>
    <w:div w:id="312565659">
      <w:marLeft w:val="0"/>
      <w:marRight w:val="0"/>
      <w:marTop w:val="10"/>
      <w:marBottom w:val="10"/>
      <w:divBdr>
        <w:top w:val="none" w:sz="0" w:space="0" w:color="auto"/>
        <w:left w:val="none" w:sz="0" w:space="0" w:color="auto"/>
        <w:bottom w:val="none" w:sz="0" w:space="0" w:color="auto"/>
        <w:right w:val="none" w:sz="0" w:space="0" w:color="auto"/>
      </w:divBdr>
    </w:div>
    <w:div w:id="359287601">
      <w:marLeft w:val="0"/>
      <w:marRight w:val="0"/>
      <w:marTop w:val="10"/>
      <w:marBottom w:val="10"/>
      <w:divBdr>
        <w:top w:val="none" w:sz="0" w:space="0" w:color="auto"/>
        <w:left w:val="none" w:sz="0" w:space="0" w:color="auto"/>
        <w:bottom w:val="none" w:sz="0" w:space="0" w:color="auto"/>
        <w:right w:val="none" w:sz="0" w:space="0" w:color="auto"/>
      </w:divBdr>
    </w:div>
    <w:div w:id="403383538">
      <w:marLeft w:val="0"/>
      <w:marRight w:val="0"/>
      <w:marTop w:val="10"/>
      <w:marBottom w:val="10"/>
      <w:divBdr>
        <w:top w:val="none" w:sz="0" w:space="0" w:color="auto"/>
        <w:left w:val="none" w:sz="0" w:space="0" w:color="auto"/>
        <w:bottom w:val="none" w:sz="0" w:space="0" w:color="auto"/>
        <w:right w:val="none" w:sz="0" w:space="0" w:color="auto"/>
      </w:divBdr>
    </w:div>
    <w:div w:id="431173264">
      <w:marLeft w:val="0"/>
      <w:marRight w:val="0"/>
      <w:marTop w:val="10"/>
      <w:marBottom w:val="10"/>
      <w:divBdr>
        <w:top w:val="none" w:sz="0" w:space="0" w:color="auto"/>
        <w:left w:val="none" w:sz="0" w:space="0" w:color="auto"/>
        <w:bottom w:val="none" w:sz="0" w:space="0" w:color="auto"/>
        <w:right w:val="none" w:sz="0" w:space="0" w:color="auto"/>
      </w:divBdr>
    </w:div>
    <w:div w:id="492837660">
      <w:marLeft w:val="0"/>
      <w:marRight w:val="0"/>
      <w:marTop w:val="10"/>
      <w:marBottom w:val="10"/>
      <w:divBdr>
        <w:top w:val="none" w:sz="0" w:space="0" w:color="auto"/>
        <w:left w:val="none" w:sz="0" w:space="0" w:color="auto"/>
        <w:bottom w:val="none" w:sz="0" w:space="0" w:color="auto"/>
        <w:right w:val="none" w:sz="0" w:space="0" w:color="auto"/>
      </w:divBdr>
    </w:div>
    <w:div w:id="882138467">
      <w:marLeft w:val="0"/>
      <w:marRight w:val="0"/>
      <w:marTop w:val="10"/>
      <w:marBottom w:val="10"/>
      <w:divBdr>
        <w:top w:val="none" w:sz="0" w:space="0" w:color="auto"/>
        <w:left w:val="none" w:sz="0" w:space="0" w:color="auto"/>
        <w:bottom w:val="none" w:sz="0" w:space="0" w:color="auto"/>
        <w:right w:val="none" w:sz="0" w:space="0" w:color="auto"/>
      </w:divBdr>
    </w:div>
    <w:div w:id="942541748">
      <w:marLeft w:val="0"/>
      <w:marRight w:val="0"/>
      <w:marTop w:val="10"/>
      <w:marBottom w:val="10"/>
      <w:divBdr>
        <w:top w:val="none" w:sz="0" w:space="0" w:color="auto"/>
        <w:left w:val="none" w:sz="0" w:space="0" w:color="auto"/>
        <w:bottom w:val="none" w:sz="0" w:space="0" w:color="auto"/>
        <w:right w:val="none" w:sz="0" w:space="0" w:color="auto"/>
      </w:divBdr>
    </w:div>
    <w:div w:id="1155102417">
      <w:marLeft w:val="0"/>
      <w:marRight w:val="0"/>
      <w:marTop w:val="10"/>
      <w:marBottom w:val="10"/>
      <w:divBdr>
        <w:top w:val="none" w:sz="0" w:space="0" w:color="auto"/>
        <w:left w:val="none" w:sz="0" w:space="0" w:color="auto"/>
        <w:bottom w:val="none" w:sz="0" w:space="0" w:color="auto"/>
        <w:right w:val="none" w:sz="0" w:space="0" w:color="auto"/>
      </w:divBdr>
    </w:div>
    <w:div w:id="1268123291">
      <w:marLeft w:val="0"/>
      <w:marRight w:val="0"/>
      <w:marTop w:val="10"/>
      <w:marBottom w:val="10"/>
      <w:divBdr>
        <w:top w:val="none" w:sz="0" w:space="0" w:color="auto"/>
        <w:left w:val="none" w:sz="0" w:space="0" w:color="auto"/>
        <w:bottom w:val="none" w:sz="0" w:space="0" w:color="auto"/>
        <w:right w:val="none" w:sz="0" w:space="0" w:color="auto"/>
      </w:divBdr>
    </w:div>
    <w:div w:id="1314066673">
      <w:marLeft w:val="0"/>
      <w:marRight w:val="0"/>
      <w:marTop w:val="10"/>
      <w:marBottom w:val="10"/>
      <w:divBdr>
        <w:top w:val="none" w:sz="0" w:space="0" w:color="auto"/>
        <w:left w:val="none" w:sz="0" w:space="0" w:color="auto"/>
        <w:bottom w:val="none" w:sz="0" w:space="0" w:color="auto"/>
        <w:right w:val="none" w:sz="0" w:space="0" w:color="auto"/>
      </w:divBdr>
    </w:div>
    <w:div w:id="1386567609">
      <w:marLeft w:val="0"/>
      <w:marRight w:val="0"/>
      <w:marTop w:val="10"/>
      <w:marBottom w:val="10"/>
      <w:divBdr>
        <w:top w:val="none" w:sz="0" w:space="0" w:color="auto"/>
        <w:left w:val="none" w:sz="0" w:space="0" w:color="auto"/>
        <w:bottom w:val="none" w:sz="0" w:space="0" w:color="auto"/>
        <w:right w:val="none" w:sz="0" w:space="0" w:color="auto"/>
      </w:divBdr>
    </w:div>
    <w:div w:id="1575043056">
      <w:marLeft w:val="0"/>
      <w:marRight w:val="0"/>
      <w:marTop w:val="10"/>
      <w:marBottom w:val="10"/>
      <w:divBdr>
        <w:top w:val="none" w:sz="0" w:space="0" w:color="auto"/>
        <w:left w:val="none" w:sz="0" w:space="0" w:color="auto"/>
        <w:bottom w:val="none" w:sz="0" w:space="0" w:color="auto"/>
        <w:right w:val="none" w:sz="0" w:space="0" w:color="auto"/>
      </w:divBdr>
    </w:div>
    <w:div w:id="1609268963">
      <w:marLeft w:val="0"/>
      <w:marRight w:val="0"/>
      <w:marTop w:val="10"/>
      <w:marBottom w:val="10"/>
      <w:divBdr>
        <w:top w:val="none" w:sz="0" w:space="0" w:color="auto"/>
        <w:left w:val="none" w:sz="0" w:space="0" w:color="auto"/>
        <w:bottom w:val="none" w:sz="0" w:space="0" w:color="auto"/>
        <w:right w:val="none" w:sz="0" w:space="0" w:color="auto"/>
      </w:divBdr>
    </w:div>
    <w:div w:id="1753621947">
      <w:marLeft w:val="0"/>
      <w:marRight w:val="0"/>
      <w:marTop w:val="10"/>
      <w:marBottom w:val="10"/>
      <w:divBdr>
        <w:top w:val="none" w:sz="0" w:space="0" w:color="auto"/>
        <w:left w:val="none" w:sz="0" w:space="0" w:color="auto"/>
        <w:bottom w:val="none" w:sz="0" w:space="0" w:color="auto"/>
        <w:right w:val="none" w:sz="0" w:space="0" w:color="auto"/>
      </w:divBdr>
    </w:div>
    <w:div w:id="1762525949">
      <w:marLeft w:val="0"/>
      <w:marRight w:val="0"/>
      <w:marTop w:val="10"/>
      <w:marBottom w:val="10"/>
      <w:divBdr>
        <w:top w:val="none" w:sz="0" w:space="0" w:color="auto"/>
        <w:left w:val="none" w:sz="0" w:space="0" w:color="auto"/>
        <w:bottom w:val="none" w:sz="0" w:space="0" w:color="auto"/>
        <w:right w:val="none" w:sz="0" w:space="0" w:color="auto"/>
      </w:divBdr>
    </w:div>
    <w:div w:id="1844541218">
      <w:marLeft w:val="0"/>
      <w:marRight w:val="0"/>
      <w:marTop w:val="10"/>
      <w:marBottom w:val="10"/>
      <w:divBdr>
        <w:top w:val="none" w:sz="0" w:space="0" w:color="auto"/>
        <w:left w:val="none" w:sz="0" w:space="0" w:color="auto"/>
        <w:bottom w:val="none" w:sz="0" w:space="0" w:color="auto"/>
        <w:right w:val="none" w:sz="0" w:space="0" w:color="auto"/>
      </w:divBdr>
    </w:div>
    <w:div w:id="1856915511">
      <w:marLeft w:val="0"/>
      <w:marRight w:val="0"/>
      <w:marTop w:val="10"/>
      <w:marBottom w:val="10"/>
      <w:divBdr>
        <w:top w:val="none" w:sz="0" w:space="0" w:color="auto"/>
        <w:left w:val="none" w:sz="0" w:space="0" w:color="auto"/>
        <w:bottom w:val="none" w:sz="0" w:space="0" w:color="auto"/>
        <w:right w:val="none" w:sz="0" w:space="0" w:color="auto"/>
      </w:divBdr>
    </w:div>
    <w:div w:id="1948778529">
      <w:marLeft w:val="0"/>
      <w:marRight w:val="720"/>
      <w:marTop w:val="10"/>
      <w:marBottom w:val="10"/>
      <w:divBdr>
        <w:top w:val="none" w:sz="0" w:space="0" w:color="auto"/>
        <w:left w:val="none" w:sz="0" w:space="0" w:color="auto"/>
        <w:bottom w:val="none" w:sz="0" w:space="0" w:color="auto"/>
        <w:right w:val="none" w:sz="0" w:space="0" w:color="auto"/>
      </w:divBdr>
    </w:div>
    <w:div w:id="1990359677">
      <w:marLeft w:val="0"/>
      <w:marRight w:val="0"/>
      <w:marTop w:val="10"/>
      <w:marBottom w:val="10"/>
      <w:divBdr>
        <w:top w:val="none" w:sz="0" w:space="0" w:color="auto"/>
        <w:left w:val="none" w:sz="0" w:space="0" w:color="auto"/>
        <w:bottom w:val="none" w:sz="0" w:space="0" w:color="auto"/>
        <w:right w:val="none" w:sz="0" w:space="0" w:color="auto"/>
      </w:divBdr>
    </w:div>
    <w:div w:id="1993562165">
      <w:marLeft w:val="0"/>
      <w:marRight w:val="720"/>
      <w:marTop w:val="10"/>
      <w:marBottom w:val="10"/>
      <w:divBdr>
        <w:top w:val="none" w:sz="0" w:space="0" w:color="auto"/>
        <w:left w:val="none" w:sz="0" w:space="0" w:color="auto"/>
        <w:bottom w:val="none" w:sz="0" w:space="0" w:color="auto"/>
        <w:right w:val="none" w:sz="0" w:space="0" w:color="auto"/>
      </w:divBdr>
    </w:div>
    <w:div w:id="2029287934">
      <w:marLeft w:val="0"/>
      <w:marRight w:val="0"/>
      <w:marTop w:val="10"/>
      <w:marBottom w:val="10"/>
      <w:divBdr>
        <w:top w:val="none" w:sz="0" w:space="0" w:color="auto"/>
        <w:left w:val="none" w:sz="0" w:space="0" w:color="auto"/>
        <w:bottom w:val="none" w:sz="0" w:space="0" w:color="auto"/>
        <w:right w:val="none" w:sz="0" w:space="0" w:color="auto"/>
      </w:divBdr>
    </w:div>
    <w:div w:id="2035228484">
      <w:marLeft w:val="0"/>
      <w:marRight w:val="720"/>
      <w:marTop w:val="10"/>
      <w:marBottom w:val="10"/>
      <w:divBdr>
        <w:top w:val="none" w:sz="0" w:space="0" w:color="auto"/>
        <w:left w:val="none" w:sz="0" w:space="0" w:color="auto"/>
        <w:bottom w:val="none" w:sz="0" w:space="0" w:color="auto"/>
        <w:right w:val="none" w:sz="0" w:space="0" w:color="auto"/>
      </w:divBdr>
    </w:div>
    <w:div w:id="20499860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