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4FA2" w:rsidRDefault="00DD4FA2">
      <w:pPr>
        <w:spacing w:line="500" w:lineRule="atLeast"/>
        <w:jc w:val="center"/>
        <w:divId w:val="52163016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:rsidR="00DD4FA2" w:rsidRDefault="00DD4FA2">
      <w:pPr>
        <w:spacing w:line="500" w:lineRule="atLeast"/>
        <w:jc w:val="center"/>
        <w:divId w:val="88618058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DD4FA2" w:rsidRDefault="00DD4FA2">
      <w:pPr>
        <w:spacing w:line="500" w:lineRule="atLeast"/>
        <w:jc w:val="right"/>
        <w:divId w:val="6482928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0103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1345</w:t>
      </w:r>
      <w:r>
        <w:rPr>
          <w:rFonts w:hint="eastAsia"/>
          <w:sz w:val="30"/>
          <w:szCs w:val="30"/>
        </w:rPr>
        <w:t>号</w:t>
      </w:r>
    </w:p>
    <w:p w:rsidR="00DD4FA2" w:rsidRDefault="00DD4FA2">
      <w:pPr>
        <w:spacing w:line="500" w:lineRule="atLeast"/>
        <w:ind w:firstLine="600"/>
        <w:divId w:val="359287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:rsidR="00DD4FA2" w:rsidRDefault="00DD4FA2">
      <w:pPr>
        <w:spacing w:line="500" w:lineRule="atLeast"/>
        <w:ind w:firstLine="600"/>
        <w:divId w:val="10897361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被告人黄育君，女，</w:t>
      </w:r>
      <w:r>
        <w:rPr>
          <w:rFonts w:hint="eastAsia"/>
          <w:sz w:val="30"/>
          <w:szCs w:val="30"/>
        </w:rPr>
        <w:t>1977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日出生，汉族，文化程度大学本科，原广东迎宾馆财务部副经理，户籍所在地为广州市白云区。因涉嫌犯私分国有资产罪于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日被取保候审。</w:t>
      </w:r>
    </w:p>
    <w:p w:rsidR="00DD4FA2" w:rsidRDefault="00DD4FA2">
      <w:pPr>
        <w:spacing w:line="500" w:lineRule="atLeast"/>
        <w:ind w:firstLine="600"/>
        <w:divId w:val="11245412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辩护人谭丽，北京观韬（广州）律师事务所律师。</w:t>
      </w:r>
    </w:p>
    <w:p w:rsidR="00DD4FA2" w:rsidRDefault="00DD4FA2">
      <w:pPr>
        <w:spacing w:line="500" w:lineRule="atLeast"/>
        <w:ind w:firstLine="600"/>
        <w:divId w:val="20101336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广州市荔湾区人民检察院以穗荔检诉刑诉</w:t>
      </w:r>
      <w:r>
        <w:rPr>
          <w:rFonts w:hint="eastAsia"/>
          <w:sz w:val="30"/>
          <w:szCs w:val="30"/>
        </w:rPr>
        <w:t>[2017]1398</w:t>
      </w:r>
      <w:r>
        <w:rPr>
          <w:rFonts w:hint="eastAsia"/>
          <w:sz w:val="30"/>
          <w:szCs w:val="30"/>
        </w:rPr>
        <w:t>号起诉书指控被告人黄育君犯私分国有资产罪，于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日向本院提起公诉。本院依法组成合议庭，公开开庭审理了本案。广州市荔湾区人民检察院指派检察员李莉航出庭支持公诉，被告人黄育君及其辩护人谭某到庭参加诉讼。本案现已审理终结。</w:t>
      </w:r>
    </w:p>
    <w:p w:rsidR="00DD4FA2" w:rsidRDefault="00DD4FA2">
      <w:pPr>
        <w:spacing w:line="500" w:lineRule="atLeast"/>
        <w:ind w:firstLine="600"/>
        <w:divId w:val="4408809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广州市荔湾区人民检察院指控：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被告人黄育君在担任广东迎宾馆财务部副经理期间，在该宾馆总经理洪某（已起诉）等班子成员的授意下，伙同财务部经理彭某、人力资源部副经理邓某（均另案处理），利用负责宾馆财务工作的职务便利，以虚开发票、虚列成本等方式套取公款，并将套取的帐外资金先后多次以现金和消费卡的形式私分给个人，共计人民币</w:t>
      </w:r>
      <w:r>
        <w:rPr>
          <w:rFonts w:hint="eastAsia"/>
          <w:sz w:val="30"/>
          <w:szCs w:val="30"/>
        </w:rPr>
        <w:t>1854307.83</w:t>
      </w:r>
      <w:r>
        <w:rPr>
          <w:rFonts w:hint="eastAsia"/>
          <w:sz w:val="30"/>
          <w:szCs w:val="30"/>
        </w:rPr>
        <w:t>元。其中被告人黄育君个人分得帐外薪酬及消费卡资金共计人民币</w:t>
      </w:r>
      <w:r>
        <w:rPr>
          <w:rFonts w:hint="eastAsia"/>
          <w:sz w:val="30"/>
          <w:szCs w:val="30"/>
        </w:rPr>
        <w:t>58960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日，被告人黄育君自动投案。</w:t>
      </w:r>
    </w:p>
    <w:p w:rsidR="00DD4FA2" w:rsidRDefault="00DD4FA2">
      <w:pPr>
        <w:spacing w:line="500" w:lineRule="atLeast"/>
        <w:ind w:firstLine="600"/>
        <w:divId w:val="12287667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公诉机关提供了相关证据证实指控的事实，认为被告人黄育君违反国家规定，结伙以单位名义将国有资产集体私分给个人，数额较大，作为单位直接责任人员，其行为触犯了《中华</w:t>
      </w:r>
      <w:r>
        <w:rPr>
          <w:rFonts w:hint="eastAsia"/>
          <w:sz w:val="30"/>
          <w:szCs w:val="30"/>
        </w:rPr>
        <w:lastRenderedPageBreak/>
        <w:t>人民共和国刑法》第三百九十六条第一款之规定，犯罪事实清楚，证据确实、充分，应当以私分国有资产罪追究其刑事责任。被告人黄育君犯罪以后主动投案，如实供述自己的罪行，是自首，根据《中华人民共和国刑法》第六十七条第一款之规定，可以从轻或者减轻处罚。被告人黄育君在共同犯罪中起辅助作用，根据《中华人民共和国刑法》第二十七条之规定，是从犯，应当从轻或者减轻处罚。提请本院依法判处。</w:t>
      </w:r>
    </w:p>
    <w:p w:rsidR="00DD4FA2" w:rsidRDefault="00DD4FA2">
      <w:pPr>
        <w:spacing w:line="500" w:lineRule="atLeast"/>
        <w:ind w:firstLine="600"/>
        <w:divId w:val="9382149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被告人黄育君对公诉机关指控的罪名及犯罪事实均无异议，并自愿认罪，请求从轻处罚。</w:t>
      </w:r>
    </w:p>
    <w:p w:rsidR="00DD4FA2" w:rsidRDefault="00DD4FA2">
      <w:pPr>
        <w:spacing w:line="500" w:lineRule="atLeast"/>
        <w:ind w:firstLine="600"/>
        <w:divId w:val="7251051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被告人黄育君的辩护人提出如下辩护意见：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被告人黄育君在涉嫌私分国有资产的单位犯罪行为中作用最小，其属于具体实施者，不属于单位负责人、分管领导和参与集体决策、指挥的领导，起次要作用；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被告人黄育君有自首情节，且已积极退赃，是初犯，无犯罪前科。故请求对被告人黄育君免予刑事处罚。</w:t>
      </w:r>
    </w:p>
    <w:p w:rsidR="00DD4FA2" w:rsidRDefault="00DD4FA2">
      <w:pPr>
        <w:spacing w:line="500" w:lineRule="atLeast"/>
        <w:ind w:firstLine="600"/>
        <w:divId w:val="1848325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被告人黄育君在担任广东迎宾馆财务部副经理期间，在该宾馆总经理洪某等班子成员的授意下，伙同财务部经理彭某、人力资源部副经理邓某等人，利用负责宾馆财务工作的职务便利，以虚开发票、虚列成本等方式套取公款，并将套取的帐外资金先后多次以现金和消费卡的形式私分给个人，共计</w:t>
      </w:r>
      <w:r>
        <w:rPr>
          <w:rFonts w:hint="eastAsia"/>
          <w:sz w:val="30"/>
          <w:szCs w:val="30"/>
        </w:rPr>
        <w:t>1854307.83</w:t>
      </w:r>
      <w:r>
        <w:rPr>
          <w:rFonts w:hint="eastAsia"/>
          <w:sz w:val="30"/>
          <w:szCs w:val="30"/>
        </w:rPr>
        <w:t>元。其中被告人黄育君个人分得帐外薪酬及消费卡资金共计</w:t>
      </w:r>
      <w:r>
        <w:rPr>
          <w:rFonts w:hint="eastAsia"/>
          <w:sz w:val="30"/>
          <w:szCs w:val="30"/>
        </w:rPr>
        <w:t>58960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日，被告人黄育君到广州市荔湾区人民检察院投案自首，并且退出全部赃款。</w:t>
      </w:r>
    </w:p>
    <w:p w:rsidR="00DD4FA2" w:rsidRDefault="00DD4FA2">
      <w:pPr>
        <w:spacing w:line="500" w:lineRule="atLeast"/>
        <w:ind w:firstLine="600"/>
        <w:divId w:val="16389507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育君在开庭审理时无异议，并有立案决定书、破案经过，广东迎宾馆事业单位法人证书、营业执照，广东省机构编制委员会办公室文件，广东迎宾馆聘任（任命）通知、广东迎宾馆招聘员工登记表、黄育君个人信息表、劳动合同，虚报有关费用的明细表以及相关的付款凭证、费用报销审批单，证人洪某、冯某、朱某、侯某、彭某、邓某、姚某、宋某、骆某的证言，广东银粤会计事务所有限公司出具的广东迎宾馆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月虚列成本的银粤专字</w:t>
      </w:r>
      <w:r>
        <w:rPr>
          <w:rFonts w:hint="eastAsia"/>
          <w:sz w:val="30"/>
          <w:szCs w:val="30"/>
        </w:rPr>
        <w:t>[2017]1023</w:t>
      </w:r>
      <w:r>
        <w:rPr>
          <w:rFonts w:hint="eastAsia"/>
          <w:sz w:val="30"/>
          <w:szCs w:val="30"/>
        </w:rPr>
        <w:t>号司法会计鉴定报告，被告人黄育君的供述及身份材料等证据证实，证据确实、充分，足以认定。</w:t>
      </w:r>
    </w:p>
    <w:p w:rsidR="00DD4FA2" w:rsidRDefault="00DD4FA2">
      <w:pPr>
        <w:spacing w:line="500" w:lineRule="atLeast"/>
        <w:ind w:firstLine="600"/>
        <w:divId w:val="1041399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育君违反国家规定，结伙以单位名义将国有资产集体私分给个人，数额较大，作为单位其他直接责任人员，其行为已构成私分国有资产罪，依法应予以惩处。公诉机关指控被告人黄育君犯私分国有资产罪的事实清楚，证据确实、充分，指控的罪名成立，本院予以支持。被告人黄育君犯罪后自动投案，如实供述自己的罪行，是自首，依法可以从轻或者减轻处罚，其中犯罪较轻的，可以免除处罚。被告人黄育君犯罪情节轻微，不需要判处刑罚，对其免予刑事处罚。辩护人关于对被告人黄育君免予刑事处罚的辩护意见有理，本院予以采纳。依照《中华人民共和国刑法》第三百九十六条第一款、第三十七条、第六十七条第一款之规定，判决如下：</w:t>
      </w:r>
    </w:p>
    <w:p w:rsidR="00DD4FA2" w:rsidRDefault="00DD4FA2">
      <w:pPr>
        <w:spacing w:line="500" w:lineRule="atLeast"/>
        <w:ind w:firstLine="600"/>
        <w:divId w:val="12585150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被告人黄育君犯私分国有资产罪，免予刑事处罚。</w:t>
      </w:r>
    </w:p>
    <w:p w:rsidR="00DD4FA2" w:rsidRDefault="00DD4FA2">
      <w:pPr>
        <w:spacing w:line="500" w:lineRule="atLeast"/>
        <w:ind w:firstLine="600"/>
        <w:divId w:val="3405470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:rsidR="00DD4FA2" w:rsidRDefault="00DD4FA2">
      <w:pPr>
        <w:spacing w:line="500" w:lineRule="atLeast"/>
        <w:jc w:val="right"/>
        <w:divId w:val="818764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廖秋平</w:t>
      </w:r>
    </w:p>
    <w:p w:rsidR="00DD4FA2" w:rsidRDefault="00DD4FA2">
      <w:pPr>
        <w:spacing w:line="500" w:lineRule="atLeast"/>
        <w:jc w:val="right"/>
        <w:divId w:val="19385574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梁锦锋</w:t>
      </w:r>
    </w:p>
    <w:p w:rsidR="00DD4FA2" w:rsidRDefault="00DD4FA2">
      <w:pPr>
        <w:spacing w:line="500" w:lineRule="atLeast"/>
        <w:jc w:val="right"/>
        <w:divId w:val="1052027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邓　偲</w:t>
      </w:r>
    </w:p>
    <w:p w:rsidR="00DD4FA2" w:rsidRDefault="00DD4FA2">
      <w:pPr>
        <w:spacing w:line="500" w:lineRule="atLeast"/>
        <w:jc w:val="right"/>
        <w:divId w:val="20538489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二〇一七年十二月二十二日</w:t>
      </w:r>
    </w:p>
    <w:p w:rsidR="00DD4FA2" w:rsidRDefault="00DD4FA2">
      <w:pPr>
        <w:spacing w:line="500" w:lineRule="atLeast"/>
        <w:jc w:val="right"/>
        <w:divId w:val="4105875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林显佳</w:t>
      </w:r>
    </w:p>
    <w:p w:rsidR="00DD4FA2" w:rsidRDefault="00DD4FA2">
      <w:pPr>
        <w:spacing w:line="500" w:lineRule="atLeast"/>
        <w:ind w:firstLine="600"/>
        <w:divId w:val="17606418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陈虹艺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4FA2" w:rsidRDefault="00DD4FA2" w:rsidP="00DD4FA2">
      <w:pPr>
        <w:rPr>
          <w:rFonts w:hint="eastAsia"/>
        </w:rPr>
      </w:pPr>
      <w:r>
        <w:separator/>
      </w:r>
    </w:p>
  </w:endnote>
  <w:endnote w:type="continuationSeparator" w:id="0">
    <w:p w:rsidR="00DD4FA2" w:rsidRDefault="00DD4FA2" w:rsidP="00DD4F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4FA2" w:rsidRDefault="00DD4FA2" w:rsidP="00DD4FA2">
      <w:pPr>
        <w:rPr>
          <w:rFonts w:hint="eastAsia"/>
        </w:rPr>
      </w:pPr>
      <w:r>
        <w:separator/>
      </w:r>
    </w:p>
  </w:footnote>
  <w:footnote w:type="continuationSeparator" w:id="0">
    <w:p w:rsidR="00DD4FA2" w:rsidRDefault="00DD4FA2" w:rsidP="00DD4FA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A2"/>
    <w:rsid w:val="002A6721"/>
    <w:rsid w:val="00DD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4F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4FA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4FA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4FA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87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7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0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75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9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01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8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1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46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49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61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2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67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0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07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18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4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6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