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830" w:rsidRDefault="008C2830">
      <w:pPr>
        <w:spacing w:line="500" w:lineRule="atLeast"/>
        <w:jc w:val="center"/>
        <w:divId w:val="972755099"/>
        <w:rPr>
          <w:rFonts w:ascii="黑体" w:eastAsia="黑体" w:hAnsi="黑体"/>
          <w:sz w:val="36"/>
          <w:szCs w:val="36"/>
        </w:rPr>
      </w:pPr>
      <w:r>
        <w:rPr>
          <w:rFonts w:ascii="黑体" w:eastAsia="黑体" w:hAnsi="黑体" w:hint="eastAsia"/>
          <w:sz w:val="36"/>
          <w:szCs w:val="36"/>
        </w:rPr>
        <w:t>广东省广州市中级人民法院</w:t>
      </w:r>
    </w:p>
    <w:p w:rsidR="008C2830" w:rsidRDefault="008C2830">
      <w:pPr>
        <w:spacing w:line="500" w:lineRule="atLeast"/>
        <w:jc w:val="center"/>
        <w:divId w:val="633095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2830" w:rsidRDefault="008C2830">
      <w:pPr>
        <w:spacing w:line="500" w:lineRule="atLeast"/>
        <w:jc w:val="right"/>
        <w:divId w:val="18503626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1388</w:t>
      </w:r>
      <w:r>
        <w:rPr>
          <w:rFonts w:hint="eastAsia"/>
          <w:sz w:val="30"/>
          <w:szCs w:val="30"/>
        </w:rPr>
        <w:t>号</w:t>
      </w:r>
    </w:p>
    <w:p w:rsidR="008C2830" w:rsidRDefault="008C2830">
      <w:pPr>
        <w:spacing w:line="500" w:lineRule="atLeast"/>
        <w:ind w:firstLine="600"/>
        <w:divId w:val="1692417227"/>
        <w:rPr>
          <w:rFonts w:hint="eastAsia"/>
          <w:sz w:val="30"/>
          <w:szCs w:val="30"/>
        </w:rPr>
      </w:pPr>
      <w:r>
        <w:rPr>
          <w:rFonts w:hint="eastAsia"/>
          <w:sz w:val="30"/>
          <w:szCs w:val="30"/>
        </w:rPr>
        <w:t>原公诉机关广东省广州市黄埔区人民检察院。</w:t>
      </w:r>
    </w:p>
    <w:p w:rsidR="008C2830" w:rsidRDefault="008C2830">
      <w:pPr>
        <w:spacing w:line="500" w:lineRule="atLeast"/>
        <w:ind w:firstLine="600"/>
        <w:divId w:val="1574390412"/>
        <w:rPr>
          <w:rFonts w:hint="eastAsia"/>
          <w:sz w:val="30"/>
          <w:szCs w:val="30"/>
        </w:rPr>
      </w:pPr>
      <w:r>
        <w:rPr>
          <w:rFonts w:hint="eastAsia"/>
          <w:sz w:val="30"/>
          <w:szCs w:val="30"/>
        </w:rPr>
        <w:t>上诉人（原审被告人）黄某甲，出生地四川省什邡市，成都黄某甲钢琴艺术学校开办者，户籍地址四川省成都市青羊区，住四川省成都市青羊区。因本案于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日被监视居住（指定居所），同年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日被逮捕。现羁押于广州市第一看守所。</w:t>
      </w:r>
    </w:p>
    <w:p w:rsidR="008C2830" w:rsidRDefault="008C2830">
      <w:pPr>
        <w:spacing w:line="500" w:lineRule="atLeast"/>
        <w:ind w:firstLine="600"/>
        <w:divId w:val="1938977670"/>
        <w:rPr>
          <w:rFonts w:hint="eastAsia"/>
          <w:sz w:val="30"/>
          <w:szCs w:val="30"/>
        </w:rPr>
      </w:pPr>
      <w:r>
        <w:rPr>
          <w:rFonts w:hint="eastAsia"/>
          <w:sz w:val="30"/>
          <w:szCs w:val="30"/>
        </w:rPr>
        <w:t>辩护人吴瑞雪，广东百科律师事务所律师。</w:t>
      </w:r>
    </w:p>
    <w:p w:rsidR="008C2830" w:rsidRDefault="008C2830">
      <w:pPr>
        <w:spacing w:line="500" w:lineRule="atLeast"/>
        <w:ind w:firstLine="600"/>
        <w:divId w:val="175653284"/>
        <w:rPr>
          <w:rFonts w:hint="eastAsia"/>
          <w:sz w:val="30"/>
          <w:szCs w:val="30"/>
        </w:rPr>
      </w:pPr>
      <w:r>
        <w:rPr>
          <w:rFonts w:hint="eastAsia"/>
          <w:sz w:val="30"/>
          <w:szCs w:val="30"/>
        </w:rPr>
        <w:t>广东省广州市黄埔区人民法院审理广东省广州市黄埔区人民检察院指控原审被告人黄某甲犯受贿罪一案，于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2015</w:t>
      </w:r>
      <w:r>
        <w:rPr>
          <w:rFonts w:hint="eastAsia"/>
          <w:sz w:val="30"/>
          <w:szCs w:val="30"/>
        </w:rPr>
        <w:t>）穗黄法刑初字第</w:t>
      </w:r>
      <w:r>
        <w:rPr>
          <w:rFonts w:hint="eastAsia"/>
          <w:sz w:val="30"/>
          <w:szCs w:val="30"/>
        </w:rPr>
        <w:t>567</w:t>
      </w:r>
      <w:r>
        <w:rPr>
          <w:rFonts w:hint="eastAsia"/>
          <w:sz w:val="30"/>
          <w:szCs w:val="30"/>
        </w:rPr>
        <w:t>号刑事判决。原审被告人黄某甲不服，提出上诉。本院受理后，依法组成合议庭，公开开庭审理了本案。广州市人民检察院指派检察员李雄彪出庭履行职务，上诉人黄某甲及其辩护人吴瑞雪到庭参加诉讼。现已审理终结。</w:t>
      </w:r>
    </w:p>
    <w:p w:rsidR="008C2830" w:rsidRDefault="008C2830">
      <w:pPr>
        <w:spacing w:line="500" w:lineRule="atLeast"/>
        <w:ind w:firstLine="600"/>
        <w:divId w:val="1110583573"/>
        <w:rPr>
          <w:rFonts w:hint="eastAsia"/>
          <w:sz w:val="30"/>
          <w:szCs w:val="30"/>
        </w:rPr>
      </w:pPr>
      <w:r>
        <w:rPr>
          <w:rFonts w:hint="eastAsia"/>
          <w:sz w:val="30"/>
          <w:szCs w:val="30"/>
        </w:rPr>
        <w:t>原判认定：</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被告人黄某甲经朋友介绍与时任广州市国土资源和房屋管理局局长兼广州市住房保障办公室主任李俊夫（另案处理）相识，并在李俊夫的邀请下放弃其在四川省的经营到广州市先后租住尚峰国际公寓、中信君庭等地，借助李某甲夫的帮助及影响在广州市进行经营活动。随后，经常陪同李某甲夫参加私人宴会和部分公务活动，双方交往甚密并发生了不正当的男女关系。在双方交往过程中，被告人黄某甲向李某甲夫提出欲承建其管理的部分保障房工程，李某甲夫未予允诺但叫其工程上的事联系广东达安项目管理股份有限公司项目经理陈某（另案处理），李某甲夫则交代陈某有</w:t>
      </w:r>
      <w:r>
        <w:rPr>
          <w:rFonts w:hint="eastAsia"/>
          <w:sz w:val="30"/>
          <w:szCs w:val="30"/>
        </w:rPr>
        <w:lastRenderedPageBreak/>
        <w:t>机会关照被告人。</w:t>
      </w:r>
      <w:r>
        <w:rPr>
          <w:rFonts w:hint="eastAsia"/>
          <w:sz w:val="30"/>
          <w:szCs w:val="30"/>
        </w:rPr>
        <w:t>2013</w:t>
      </w:r>
      <w:r>
        <w:rPr>
          <w:rFonts w:hint="eastAsia"/>
          <w:sz w:val="30"/>
          <w:szCs w:val="30"/>
        </w:rPr>
        <w:t>年年初，陈爱民伙同李俊夫妻姐王译伟（另案处理）利用李俊夫的职务便利在运作承接广州市保障房建设工程项目过程中获得了巨额利益，陈某遂根据前述李某甲夫之托将其中的</w:t>
      </w:r>
      <w:r>
        <w:rPr>
          <w:rFonts w:hint="eastAsia"/>
          <w:sz w:val="30"/>
          <w:szCs w:val="30"/>
        </w:rPr>
        <w:t>150</w:t>
      </w:r>
      <w:r>
        <w:rPr>
          <w:rFonts w:hint="eastAsia"/>
          <w:sz w:val="30"/>
          <w:szCs w:val="30"/>
        </w:rPr>
        <w:t>万送给被告人黄某甲，并告知了李某甲夫。</w:t>
      </w:r>
    </w:p>
    <w:p w:rsidR="008C2830" w:rsidRDefault="008C2830">
      <w:pPr>
        <w:spacing w:line="500" w:lineRule="atLeast"/>
        <w:ind w:firstLine="600"/>
        <w:divId w:val="653218851"/>
        <w:rPr>
          <w:rFonts w:hint="eastAsia"/>
          <w:sz w:val="30"/>
          <w:szCs w:val="30"/>
        </w:rPr>
      </w:pPr>
      <w:r>
        <w:rPr>
          <w:rFonts w:hint="eastAsia"/>
          <w:sz w:val="30"/>
          <w:szCs w:val="30"/>
        </w:rPr>
        <w:t>广州市人民检察院在调查李某甲夫涉嫌经济犯罪过程中，发现被告人黄某甲有涉案嫌疑，并于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日对其立案侦查。同年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日，被告人黄某甲在广州市纪委的督促下主动到广州市人民检察院，交代了其收受</w:t>
      </w:r>
      <w:r>
        <w:rPr>
          <w:rFonts w:hint="eastAsia"/>
          <w:sz w:val="30"/>
          <w:szCs w:val="30"/>
        </w:rPr>
        <w:t>150</w:t>
      </w:r>
      <w:r>
        <w:rPr>
          <w:rFonts w:hint="eastAsia"/>
          <w:sz w:val="30"/>
          <w:szCs w:val="30"/>
        </w:rPr>
        <w:t>万元的事实。同年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日，被告人黄某甲通过家属退缴了上述全部赃款。</w:t>
      </w:r>
    </w:p>
    <w:p w:rsidR="008C2830" w:rsidRDefault="008C2830">
      <w:pPr>
        <w:spacing w:line="500" w:lineRule="atLeast"/>
        <w:ind w:firstLine="600"/>
        <w:divId w:val="1741559437"/>
        <w:rPr>
          <w:rFonts w:hint="eastAsia"/>
          <w:sz w:val="30"/>
          <w:szCs w:val="30"/>
        </w:rPr>
      </w:pPr>
      <w:r>
        <w:rPr>
          <w:rFonts w:hint="eastAsia"/>
          <w:sz w:val="30"/>
          <w:szCs w:val="30"/>
        </w:rPr>
        <w:t>原判认为：公诉机关指控被告人黄某甲收受涉案人员陈某给付的</w:t>
      </w:r>
      <w:r>
        <w:rPr>
          <w:rFonts w:hint="eastAsia"/>
          <w:sz w:val="30"/>
          <w:szCs w:val="30"/>
        </w:rPr>
        <w:t>150</w:t>
      </w:r>
      <w:r>
        <w:rPr>
          <w:rFonts w:hint="eastAsia"/>
          <w:sz w:val="30"/>
          <w:szCs w:val="30"/>
        </w:rPr>
        <w:t>万元贿赂款的事实成立，但指控的罪名欠妥。被告人明知该款是李某甲夫贿赂犯罪所得仍予以掩饰、隐瞒，当然构成掩饰、隐瞒犯罪所得罪，但与洗钱罪形成竞合，根据竞合犯的处罚原则及相关法律规定，应以洗钱罪对被告人黄某甲进行处罚。虽然被告人黄某甲因在法庭审理时对主要事实予以否定而不构成自首，但之前能够配合有关部门调查，主动交代涉案问题，可酌情从轻处罚；被告人在案发后能够退缴全部涉案赃款，亦可从轻处罚。综上所述，结合被告人的犯罪动机、起因等，依照《中华人民共和国刑法》第一百九十一条、第六十一条、第六十四条和《最高人民法院关于审理洗钱等刑事案件具体应用法律若干问题的解释》第三条之规定，判决：一、被告人黄某甲犯洗钱罪，判处有期徒刑四年，并处罚金七万五千元。二、被告人黄某甲退缴的赃款</w:t>
      </w:r>
      <w:r>
        <w:rPr>
          <w:rFonts w:hint="eastAsia"/>
          <w:sz w:val="30"/>
          <w:szCs w:val="30"/>
        </w:rPr>
        <w:t>150</w:t>
      </w:r>
      <w:r>
        <w:rPr>
          <w:rFonts w:hint="eastAsia"/>
          <w:sz w:val="30"/>
          <w:szCs w:val="30"/>
        </w:rPr>
        <w:t>万元，予以没收，上缴国库。</w:t>
      </w:r>
    </w:p>
    <w:p w:rsidR="008C2830" w:rsidRDefault="008C2830">
      <w:pPr>
        <w:spacing w:line="500" w:lineRule="atLeast"/>
        <w:ind w:firstLine="600"/>
        <w:divId w:val="459955634"/>
        <w:rPr>
          <w:rFonts w:hint="eastAsia"/>
          <w:sz w:val="30"/>
          <w:szCs w:val="30"/>
        </w:rPr>
      </w:pPr>
      <w:r>
        <w:rPr>
          <w:rFonts w:hint="eastAsia"/>
          <w:sz w:val="30"/>
          <w:szCs w:val="30"/>
        </w:rPr>
        <w:t>原审被告人黄某甲上诉称：其主观上不知道陈某送来的</w:t>
      </w:r>
      <w:r>
        <w:rPr>
          <w:rFonts w:hint="eastAsia"/>
          <w:sz w:val="30"/>
          <w:szCs w:val="30"/>
        </w:rPr>
        <w:t>150</w:t>
      </w:r>
      <w:r>
        <w:rPr>
          <w:rFonts w:hint="eastAsia"/>
          <w:sz w:val="30"/>
          <w:szCs w:val="30"/>
        </w:rPr>
        <w:t>万元系非法所得，也无掩饰、隐瞒违法所得的性质和来源的行为和故意，其行为未对国家金融秩序造成损害。原判定罪错误。其主动投案，如实供述自己的罪行，是自首，其对行为性质的辩解不影响对自首的认定。原判量刑畸重，请求二审改判。</w:t>
      </w:r>
    </w:p>
    <w:p w:rsidR="008C2830" w:rsidRDefault="008C2830">
      <w:pPr>
        <w:spacing w:line="500" w:lineRule="atLeast"/>
        <w:ind w:firstLine="600"/>
        <w:divId w:val="653534875"/>
        <w:rPr>
          <w:rFonts w:hint="eastAsia"/>
          <w:sz w:val="30"/>
          <w:szCs w:val="30"/>
        </w:rPr>
      </w:pPr>
      <w:r>
        <w:rPr>
          <w:rFonts w:hint="eastAsia"/>
          <w:sz w:val="30"/>
          <w:szCs w:val="30"/>
        </w:rPr>
        <w:t>辩护人发表了以下辩护意见：</w:t>
      </w:r>
      <w:r>
        <w:rPr>
          <w:rFonts w:hint="eastAsia"/>
          <w:sz w:val="30"/>
          <w:szCs w:val="30"/>
        </w:rPr>
        <w:t>1</w:t>
      </w:r>
      <w:r>
        <w:rPr>
          <w:rFonts w:hint="eastAsia"/>
          <w:sz w:val="30"/>
          <w:szCs w:val="30"/>
        </w:rPr>
        <w:t>、黄某甲自动投案并如实供述自己的罪行，应当认定为自首。</w:t>
      </w:r>
      <w:r>
        <w:rPr>
          <w:rFonts w:hint="eastAsia"/>
          <w:sz w:val="30"/>
          <w:szCs w:val="30"/>
        </w:rPr>
        <w:t>2</w:t>
      </w:r>
      <w:r>
        <w:rPr>
          <w:rFonts w:hint="eastAsia"/>
          <w:sz w:val="30"/>
          <w:szCs w:val="30"/>
        </w:rPr>
        <w:t>、没有证据证明黄某甲在收取陈某</w:t>
      </w:r>
      <w:r>
        <w:rPr>
          <w:rFonts w:hint="eastAsia"/>
          <w:sz w:val="30"/>
          <w:szCs w:val="30"/>
        </w:rPr>
        <w:t>150</w:t>
      </w:r>
      <w:r>
        <w:rPr>
          <w:rFonts w:hint="eastAsia"/>
          <w:sz w:val="30"/>
          <w:szCs w:val="30"/>
        </w:rPr>
        <w:t>万元时明知该款是陈某送给李某甲夫的贿赂款，在收受该款的行为中，黄某甲是从犯。</w:t>
      </w:r>
      <w:r>
        <w:rPr>
          <w:rFonts w:hint="eastAsia"/>
          <w:sz w:val="30"/>
          <w:szCs w:val="30"/>
        </w:rPr>
        <w:t>3</w:t>
      </w:r>
      <w:r>
        <w:rPr>
          <w:rFonts w:hint="eastAsia"/>
          <w:sz w:val="30"/>
          <w:szCs w:val="30"/>
        </w:rPr>
        <w:t>、黄某甲有全部退赃情节。</w:t>
      </w:r>
      <w:r>
        <w:rPr>
          <w:rFonts w:hint="eastAsia"/>
          <w:sz w:val="30"/>
          <w:szCs w:val="30"/>
        </w:rPr>
        <w:t>4</w:t>
      </w:r>
      <w:r>
        <w:rPr>
          <w:rFonts w:hint="eastAsia"/>
          <w:sz w:val="30"/>
          <w:szCs w:val="30"/>
        </w:rPr>
        <w:t>、原审法院变更认定罪名之前没有听取辩护意见。</w:t>
      </w:r>
      <w:r>
        <w:rPr>
          <w:rFonts w:hint="eastAsia"/>
          <w:sz w:val="30"/>
          <w:szCs w:val="30"/>
        </w:rPr>
        <w:t>5</w:t>
      </w:r>
      <w:r>
        <w:rPr>
          <w:rFonts w:hint="eastAsia"/>
          <w:sz w:val="30"/>
          <w:szCs w:val="30"/>
        </w:rPr>
        <w:t>、黄某甲是初犯、偶犯，对社会危害性较小。综上，现有证据对上诉人黄某甲收受陈某</w:t>
      </w:r>
      <w:r>
        <w:rPr>
          <w:rFonts w:hint="eastAsia"/>
          <w:sz w:val="30"/>
          <w:szCs w:val="30"/>
        </w:rPr>
        <w:t>150</w:t>
      </w:r>
      <w:r>
        <w:rPr>
          <w:rFonts w:hint="eastAsia"/>
          <w:sz w:val="30"/>
          <w:szCs w:val="30"/>
        </w:rPr>
        <w:t>万元是否构成犯罪、构成何罪存在疑点，按疑点有利于被告人的原则，应作出有利于上诉人的判决，并对其从轻、减轻处罚。</w:t>
      </w:r>
    </w:p>
    <w:p w:rsidR="008C2830" w:rsidRDefault="008C2830">
      <w:pPr>
        <w:spacing w:line="500" w:lineRule="atLeast"/>
        <w:ind w:firstLine="600"/>
        <w:divId w:val="352389461"/>
        <w:rPr>
          <w:rFonts w:hint="eastAsia"/>
          <w:sz w:val="30"/>
          <w:szCs w:val="30"/>
        </w:rPr>
      </w:pPr>
      <w:r>
        <w:rPr>
          <w:rFonts w:hint="eastAsia"/>
          <w:sz w:val="30"/>
          <w:szCs w:val="30"/>
        </w:rPr>
        <w:t>广州市人民检察院出庭履行职务的检察员李某乙发表以下意见：原判认定事实清楚，证据确实、充分，定罪准确，量刑适当，建议予以维持。</w:t>
      </w:r>
    </w:p>
    <w:p w:rsidR="008C2830" w:rsidRDefault="008C2830">
      <w:pPr>
        <w:spacing w:line="500" w:lineRule="atLeast"/>
        <w:ind w:firstLine="600"/>
        <w:divId w:val="33712410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上诉人黄某甲经他人介绍与时任广州市国土资源和房屋管理局局长兼广州市住房保障办公室主任的李俊夫（另案处理）相识，并逐渐发展成不正当的男女关系。在交往过程中，上诉人黄某甲向李某甲夫提出欲承建李某甲夫管理的部分保障房工程，李某甲夫让其联系广东达安项目管理股份有限公司项目经理陈某（另案处理），并吩咐陈某关照被告人。此外，李某甲夫还向其下属徐某乙（另案处理）打招呼，吩咐徐某乙在保障房鸦岗标段上关照上诉人黄某甲，具体让陈某帮忙运作。陈某遂答应与上诉人黄某甲合作，由陈某负责运作，黄某甲直接收取中标工程后的利润分成。</w:t>
      </w:r>
      <w:r>
        <w:rPr>
          <w:rFonts w:hint="eastAsia"/>
          <w:sz w:val="30"/>
          <w:szCs w:val="30"/>
        </w:rPr>
        <w:t>2013</w:t>
      </w:r>
      <w:r>
        <w:rPr>
          <w:rFonts w:hint="eastAsia"/>
          <w:sz w:val="30"/>
          <w:szCs w:val="30"/>
        </w:rPr>
        <w:t>年年初，陈爱民利用李俊夫的职务便利在运作承接广州市保障房建设工程项目过程中获得了巨额利益，随后将其中的</w:t>
      </w:r>
      <w:r>
        <w:rPr>
          <w:rFonts w:hint="eastAsia"/>
          <w:sz w:val="30"/>
          <w:szCs w:val="30"/>
        </w:rPr>
        <w:t>150</w:t>
      </w:r>
      <w:r>
        <w:rPr>
          <w:rFonts w:hint="eastAsia"/>
          <w:sz w:val="30"/>
          <w:szCs w:val="30"/>
        </w:rPr>
        <w:t>万元以利润分成的名义送给上诉人黄某甲。</w:t>
      </w:r>
    </w:p>
    <w:p w:rsidR="008C2830" w:rsidRDefault="008C2830">
      <w:pPr>
        <w:spacing w:line="500" w:lineRule="atLeast"/>
        <w:ind w:firstLine="600"/>
        <w:divId w:val="1251507748"/>
        <w:rPr>
          <w:rFonts w:hint="eastAsia"/>
          <w:sz w:val="30"/>
          <w:szCs w:val="30"/>
        </w:rPr>
      </w:pPr>
      <w:r>
        <w:rPr>
          <w:rFonts w:hint="eastAsia"/>
          <w:sz w:val="30"/>
          <w:szCs w:val="30"/>
        </w:rPr>
        <w:t>广州市人民检察院在调查李某甲夫涉嫌经济犯罪过程中，发现上诉人黄某甲有涉案嫌疑，于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日对其立案侦查。同年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日，上诉人黄某甲在广州市纪委的督促下主动到广州市人民检察院，交代了其收受</w:t>
      </w:r>
      <w:r>
        <w:rPr>
          <w:rFonts w:hint="eastAsia"/>
          <w:sz w:val="30"/>
          <w:szCs w:val="30"/>
        </w:rPr>
        <w:t>150</w:t>
      </w:r>
      <w:r>
        <w:rPr>
          <w:rFonts w:hint="eastAsia"/>
          <w:sz w:val="30"/>
          <w:szCs w:val="30"/>
        </w:rPr>
        <w:t>万元的事实。同年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日，上诉人黄某甲通过家属退缴了上述全部赃款。</w:t>
      </w:r>
    </w:p>
    <w:p w:rsidR="008C2830" w:rsidRDefault="008C2830">
      <w:pPr>
        <w:spacing w:line="500" w:lineRule="atLeast"/>
        <w:ind w:firstLine="600"/>
        <w:divId w:val="1173573600"/>
        <w:rPr>
          <w:rFonts w:hint="eastAsia"/>
          <w:sz w:val="30"/>
          <w:szCs w:val="30"/>
        </w:rPr>
      </w:pPr>
      <w:r>
        <w:rPr>
          <w:rFonts w:hint="eastAsia"/>
          <w:sz w:val="30"/>
          <w:szCs w:val="30"/>
        </w:rPr>
        <w:t>上述事实有经原审庭审及本院庭审出示并经法庭质证、认证的证据证实。</w:t>
      </w:r>
    </w:p>
    <w:p w:rsidR="008C2830" w:rsidRDefault="008C2830">
      <w:pPr>
        <w:spacing w:line="500" w:lineRule="atLeast"/>
        <w:ind w:firstLine="600"/>
        <w:divId w:val="1951739431"/>
        <w:rPr>
          <w:rFonts w:hint="eastAsia"/>
          <w:sz w:val="30"/>
          <w:szCs w:val="30"/>
        </w:rPr>
      </w:pPr>
      <w:r>
        <w:rPr>
          <w:rFonts w:hint="eastAsia"/>
          <w:sz w:val="30"/>
          <w:szCs w:val="30"/>
        </w:rPr>
        <w:t>综合上诉人黄某甲及其辩护人所提辩解和辩护意见，本院对案件中的争点问题评判如下：</w:t>
      </w:r>
    </w:p>
    <w:p w:rsidR="008C2830" w:rsidRDefault="008C2830">
      <w:pPr>
        <w:spacing w:line="500" w:lineRule="atLeast"/>
        <w:ind w:firstLine="600"/>
        <w:divId w:val="338502814"/>
        <w:rPr>
          <w:rFonts w:hint="eastAsia"/>
          <w:sz w:val="30"/>
          <w:szCs w:val="30"/>
        </w:rPr>
      </w:pPr>
      <w:r>
        <w:rPr>
          <w:rFonts w:hint="eastAsia"/>
          <w:sz w:val="30"/>
          <w:szCs w:val="30"/>
        </w:rPr>
        <w:t>关于上诉人黄某甲主观上是否有受贿故意的问题，经查：黄某甲、陈某、李某甲夫、徐某乙等人在侦查阶段的供述和证言基本吻合，通过相互印证，可以证实：黄某甲与李某甲夫有不正当的男女关系，黄某甲想利用其与李某甲夫的特定关系，并利用李某甲夫的职务便利承接工程以谋利，李某甲夫为了关照黄某甲，让其去找陈某，并吩咐徐某乙、陈某关照黄某甲。陈某考虑到黄某甲没有工程建设方面的经验，故不想让黄某甲直接承接工程，随后以共同承接相关保障房项目为名，劝说黄某甲直接参与分成、不要出面。之后，陈某将获得的“卖标费”中的</w:t>
      </w:r>
      <w:r>
        <w:rPr>
          <w:rFonts w:hint="eastAsia"/>
          <w:sz w:val="30"/>
          <w:szCs w:val="30"/>
        </w:rPr>
        <w:t>150</w:t>
      </w:r>
      <w:r>
        <w:rPr>
          <w:rFonts w:hint="eastAsia"/>
          <w:sz w:val="30"/>
          <w:szCs w:val="30"/>
        </w:rPr>
        <w:t>万元送给了黄某甲，并称是“李局关照我们的”，等拿到后面的工程款再给</w:t>
      </w:r>
      <w:r>
        <w:rPr>
          <w:rFonts w:hint="eastAsia"/>
          <w:sz w:val="30"/>
          <w:szCs w:val="30"/>
        </w:rPr>
        <w:t>150</w:t>
      </w:r>
      <w:r>
        <w:rPr>
          <w:rFonts w:hint="eastAsia"/>
          <w:sz w:val="30"/>
          <w:szCs w:val="30"/>
        </w:rPr>
        <w:t>万元。事后，李某甲夫还找黄某甲当面对质，询问黄某甲是否收到过陈某</w:t>
      </w:r>
      <w:r>
        <w:rPr>
          <w:rFonts w:hint="eastAsia"/>
          <w:sz w:val="30"/>
          <w:szCs w:val="30"/>
        </w:rPr>
        <w:t>150</w:t>
      </w:r>
      <w:r>
        <w:rPr>
          <w:rFonts w:hint="eastAsia"/>
          <w:sz w:val="30"/>
          <w:szCs w:val="30"/>
        </w:rPr>
        <w:t>万元。综上可见，黄某甲主观上是想通过李某甲夫的关照，获取相关工程，并通过中标工程以谋利，事后陈某也是以工程获利分成的形式送与了黄某甲，黄某甲主观上也误以为陈某送的</w:t>
      </w:r>
      <w:r>
        <w:rPr>
          <w:rFonts w:hint="eastAsia"/>
          <w:sz w:val="30"/>
          <w:szCs w:val="30"/>
        </w:rPr>
        <w:t>150</w:t>
      </w:r>
      <w:r>
        <w:rPr>
          <w:rFonts w:hint="eastAsia"/>
          <w:sz w:val="30"/>
          <w:szCs w:val="30"/>
        </w:rPr>
        <w:t>万元就是做工程的分成，黄某甲虽然也认识到该</w:t>
      </w:r>
      <w:r>
        <w:rPr>
          <w:rFonts w:hint="eastAsia"/>
          <w:sz w:val="30"/>
          <w:szCs w:val="30"/>
        </w:rPr>
        <w:t>150</w:t>
      </w:r>
      <w:r>
        <w:rPr>
          <w:rFonts w:hint="eastAsia"/>
          <w:sz w:val="30"/>
          <w:szCs w:val="30"/>
        </w:rPr>
        <w:t>万元是李某甲夫关照的结果，但并不足以认定黄某甲明知该款是陈某送给李某甲夫的贿赂款，因此现有证据不足以证实黄某甲主观上具有与李某甲夫共同收取陈某贿赂款的故意。原判关于本点的论述充分，本院予以确认。</w:t>
      </w:r>
    </w:p>
    <w:p w:rsidR="008C2830" w:rsidRDefault="008C2830">
      <w:pPr>
        <w:spacing w:line="500" w:lineRule="atLeast"/>
        <w:ind w:firstLine="600"/>
        <w:divId w:val="1213075544"/>
        <w:rPr>
          <w:rFonts w:hint="eastAsia"/>
          <w:sz w:val="30"/>
          <w:szCs w:val="30"/>
        </w:rPr>
      </w:pPr>
      <w:r>
        <w:rPr>
          <w:rFonts w:hint="eastAsia"/>
          <w:sz w:val="30"/>
          <w:szCs w:val="30"/>
        </w:rPr>
        <w:t>关于上诉人黄某甲是否明知陈某所送</w:t>
      </w:r>
      <w:r>
        <w:rPr>
          <w:rFonts w:hint="eastAsia"/>
          <w:sz w:val="30"/>
          <w:szCs w:val="30"/>
        </w:rPr>
        <w:t>150</w:t>
      </w:r>
      <w:r>
        <w:rPr>
          <w:rFonts w:hint="eastAsia"/>
          <w:sz w:val="30"/>
          <w:szCs w:val="30"/>
        </w:rPr>
        <w:t>万元的具体来源及其性质的问题，经查：（</w:t>
      </w:r>
      <w:r>
        <w:rPr>
          <w:rFonts w:hint="eastAsia"/>
          <w:sz w:val="30"/>
          <w:szCs w:val="30"/>
        </w:rPr>
        <w:t>1</w:t>
      </w:r>
      <w:r>
        <w:rPr>
          <w:rFonts w:hint="eastAsia"/>
          <w:sz w:val="30"/>
          <w:szCs w:val="30"/>
        </w:rPr>
        <w:t>）黄某甲找李某甲夫表达了想做工程的意愿，证明其想利用李某甲夫的职务便利获取工程以谋利。（</w:t>
      </w:r>
      <w:r>
        <w:rPr>
          <w:rFonts w:hint="eastAsia"/>
          <w:sz w:val="30"/>
          <w:szCs w:val="30"/>
        </w:rPr>
        <w:t>2</w:t>
      </w:r>
      <w:r>
        <w:rPr>
          <w:rFonts w:hint="eastAsia"/>
          <w:sz w:val="30"/>
          <w:szCs w:val="30"/>
        </w:rPr>
        <w:t>）黄某甲曾与徐某乙、陈某等人商议，想通过操作工程的方式谋利，后达成协议，由陈某出面操作工程，其直接获取利润。证明其知悉陈某承接工程的操作手法以及陈某获取利润的非法性。（</w:t>
      </w:r>
      <w:r>
        <w:rPr>
          <w:rFonts w:hint="eastAsia"/>
          <w:sz w:val="30"/>
          <w:szCs w:val="30"/>
        </w:rPr>
        <w:t>3</w:t>
      </w:r>
      <w:r>
        <w:rPr>
          <w:rFonts w:hint="eastAsia"/>
          <w:sz w:val="30"/>
          <w:szCs w:val="30"/>
        </w:rPr>
        <w:t>）陈某送</w:t>
      </w:r>
      <w:r>
        <w:rPr>
          <w:rFonts w:hint="eastAsia"/>
          <w:sz w:val="30"/>
          <w:szCs w:val="30"/>
        </w:rPr>
        <w:t>150</w:t>
      </w:r>
      <w:r>
        <w:rPr>
          <w:rFonts w:hint="eastAsia"/>
          <w:sz w:val="30"/>
          <w:szCs w:val="30"/>
        </w:rPr>
        <w:t>万元给黄某甲时，告知该款是黄某甲参与承接工程的利润分成。（</w:t>
      </w:r>
      <w:r>
        <w:rPr>
          <w:rFonts w:hint="eastAsia"/>
          <w:sz w:val="30"/>
          <w:szCs w:val="30"/>
        </w:rPr>
        <w:t>4</w:t>
      </w:r>
      <w:r>
        <w:rPr>
          <w:rFonts w:hint="eastAsia"/>
          <w:sz w:val="30"/>
          <w:szCs w:val="30"/>
        </w:rPr>
        <w:t>）收受</w:t>
      </w:r>
      <w:r>
        <w:rPr>
          <w:rFonts w:hint="eastAsia"/>
          <w:sz w:val="30"/>
          <w:szCs w:val="30"/>
        </w:rPr>
        <w:t>150</w:t>
      </w:r>
      <w:r>
        <w:rPr>
          <w:rFonts w:hint="eastAsia"/>
          <w:sz w:val="30"/>
          <w:szCs w:val="30"/>
        </w:rPr>
        <w:t>万元时，黄某甲主观上认识到该款是其与陈某共同操作工程的非法所得。综上，通过上述证据和事实可以认定，上诉人黄某甲在其当时所处环境下，其未必认识到该</w:t>
      </w:r>
      <w:r>
        <w:rPr>
          <w:rFonts w:hint="eastAsia"/>
          <w:sz w:val="30"/>
          <w:szCs w:val="30"/>
        </w:rPr>
        <w:t>150</w:t>
      </w:r>
      <w:r>
        <w:rPr>
          <w:rFonts w:hint="eastAsia"/>
          <w:sz w:val="30"/>
          <w:szCs w:val="30"/>
        </w:rPr>
        <w:t>万元系陈某送给李某甲夫的贿赂款，但其应当认识到该</w:t>
      </w:r>
      <w:r>
        <w:rPr>
          <w:rFonts w:hint="eastAsia"/>
          <w:sz w:val="30"/>
          <w:szCs w:val="30"/>
        </w:rPr>
        <w:t>150</w:t>
      </w:r>
      <w:r>
        <w:rPr>
          <w:rFonts w:hint="eastAsia"/>
          <w:sz w:val="30"/>
          <w:szCs w:val="30"/>
        </w:rPr>
        <w:t>万元系陈某通过操作工程获取的非法所得，其收受该款即属于掩饰、隐瞒犯罪所得的行为。上诉人黄某甲在本院庭审时所辩称该</w:t>
      </w:r>
      <w:r>
        <w:rPr>
          <w:rFonts w:hint="eastAsia"/>
          <w:sz w:val="30"/>
          <w:szCs w:val="30"/>
        </w:rPr>
        <w:t>150</w:t>
      </w:r>
      <w:r>
        <w:rPr>
          <w:rFonts w:hint="eastAsia"/>
          <w:sz w:val="30"/>
          <w:szCs w:val="30"/>
        </w:rPr>
        <w:t>万元是陈某送给其用于经营私房菜馆的赞助费与事实明显不符，本院不予采信。</w:t>
      </w:r>
    </w:p>
    <w:p w:rsidR="008C2830" w:rsidRDefault="008C2830">
      <w:pPr>
        <w:spacing w:line="500" w:lineRule="atLeast"/>
        <w:ind w:firstLine="600"/>
        <w:divId w:val="2129621763"/>
        <w:rPr>
          <w:rFonts w:hint="eastAsia"/>
          <w:sz w:val="30"/>
          <w:szCs w:val="30"/>
        </w:rPr>
      </w:pPr>
      <w:r>
        <w:rPr>
          <w:rFonts w:hint="eastAsia"/>
          <w:sz w:val="30"/>
          <w:szCs w:val="30"/>
        </w:rPr>
        <w:t>本院认为，上诉人黄某甲明知是他人犯罪所得而予以收受，掩饰、隐瞒犯罪所得，情节严重，其行为已构成掩饰、隐瞒犯罪所得罪，依法应予惩处。上诉人黄某甲与李某甲夫之间没有共同受贿的犯罪故意，其未必认识到涉案</w:t>
      </w:r>
      <w:r>
        <w:rPr>
          <w:rFonts w:hint="eastAsia"/>
          <w:sz w:val="30"/>
          <w:szCs w:val="30"/>
        </w:rPr>
        <w:t>150</w:t>
      </w:r>
      <w:r>
        <w:rPr>
          <w:rFonts w:hint="eastAsia"/>
          <w:sz w:val="30"/>
          <w:szCs w:val="30"/>
        </w:rPr>
        <w:t>万元系陈某贿送给李某甲夫的贿赂款，客观上也未实施掩饰、隐瞒犯罪所得的性质和来源的行为，因此上诉人黄某甲不构成受贿罪，亦不构成洗钱罪。上诉人黄某甲虽主动投案，并在侦查阶段如实供述自己的罪行，但由于在原审法院及本院审理过程中对基本事实予以均翻供，本院依法不认定其构成自首。上诉人黄某甲独自收受犯罪所得，并未与他人构成共犯，故不属于从犯。上诉人黄某甲及其辩护人所提黄某甲构成自首、系从犯的辩解和意见于法无据，本院不予支持。但考虑到上诉人黄某甲主动投案，对于破获本案具有积极作用，且具有全额退赃情节，可对其酌情从轻处罚。辩护人所提对黄某甲从轻处罚的意见合理，本院依法予以采纳。综上，原判认定事实基本清楚，证据确实、充分，审判程序合法，惟定罪及适用法律有误，本院依法予以纠正。依照《中华人民共和国刑事诉讼法》第二百二十五条第（二）项，《中华人民共和国刑法》第三百一十二条第一款、第六十四条，《最高人民法院关于审理掩饰、隐瞒犯罪所得、犯罪所得收益刑事案件适用法律若干问题的解释》第三条之规定，判决如下：</w:t>
      </w:r>
    </w:p>
    <w:p w:rsidR="008C2830" w:rsidRDefault="008C2830">
      <w:pPr>
        <w:spacing w:line="500" w:lineRule="atLeast"/>
        <w:ind w:firstLine="600"/>
        <w:divId w:val="1646278552"/>
        <w:rPr>
          <w:rFonts w:hint="eastAsia"/>
          <w:sz w:val="30"/>
          <w:szCs w:val="30"/>
        </w:rPr>
      </w:pPr>
      <w:r>
        <w:rPr>
          <w:rFonts w:hint="eastAsia"/>
          <w:sz w:val="30"/>
          <w:szCs w:val="30"/>
        </w:rPr>
        <w:t>一、维持广东省广州市黄埔区人民法院（</w:t>
      </w:r>
      <w:r>
        <w:rPr>
          <w:rFonts w:hint="eastAsia"/>
          <w:sz w:val="30"/>
          <w:szCs w:val="30"/>
        </w:rPr>
        <w:t>2015</w:t>
      </w:r>
      <w:r>
        <w:rPr>
          <w:rFonts w:hint="eastAsia"/>
          <w:sz w:val="30"/>
          <w:szCs w:val="30"/>
        </w:rPr>
        <w:t>）穗黄法刑初字第</w:t>
      </w:r>
      <w:r>
        <w:rPr>
          <w:rFonts w:hint="eastAsia"/>
          <w:sz w:val="30"/>
          <w:szCs w:val="30"/>
        </w:rPr>
        <w:t>567</w:t>
      </w:r>
      <w:r>
        <w:rPr>
          <w:rFonts w:hint="eastAsia"/>
          <w:sz w:val="30"/>
          <w:szCs w:val="30"/>
        </w:rPr>
        <w:t>号刑事判决第二项，即被告人黄某甲退缴的赃款</w:t>
      </w:r>
      <w:r>
        <w:rPr>
          <w:rFonts w:hint="eastAsia"/>
          <w:sz w:val="30"/>
          <w:szCs w:val="30"/>
        </w:rPr>
        <w:t>150</w:t>
      </w:r>
      <w:r>
        <w:rPr>
          <w:rFonts w:hint="eastAsia"/>
          <w:sz w:val="30"/>
          <w:szCs w:val="30"/>
        </w:rPr>
        <w:t>万元予以没收，上缴国库。</w:t>
      </w:r>
    </w:p>
    <w:p w:rsidR="008C2830" w:rsidRDefault="008C2830">
      <w:pPr>
        <w:spacing w:line="500" w:lineRule="atLeast"/>
        <w:ind w:firstLine="600"/>
        <w:divId w:val="1844005053"/>
        <w:rPr>
          <w:rFonts w:hint="eastAsia"/>
          <w:sz w:val="30"/>
          <w:szCs w:val="30"/>
        </w:rPr>
      </w:pPr>
      <w:r>
        <w:rPr>
          <w:rFonts w:hint="eastAsia"/>
          <w:sz w:val="30"/>
          <w:szCs w:val="30"/>
        </w:rPr>
        <w:t>二、撤销广东省广州市黄埔区人民法院（</w:t>
      </w:r>
      <w:r>
        <w:rPr>
          <w:rFonts w:hint="eastAsia"/>
          <w:sz w:val="30"/>
          <w:szCs w:val="30"/>
        </w:rPr>
        <w:t>2015</w:t>
      </w:r>
      <w:r>
        <w:rPr>
          <w:rFonts w:hint="eastAsia"/>
          <w:sz w:val="30"/>
          <w:szCs w:val="30"/>
        </w:rPr>
        <w:t>）穗黄法刑初字第</w:t>
      </w:r>
      <w:r>
        <w:rPr>
          <w:rFonts w:hint="eastAsia"/>
          <w:sz w:val="30"/>
          <w:szCs w:val="30"/>
        </w:rPr>
        <w:t>567</w:t>
      </w:r>
      <w:r>
        <w:rPr>
          <w:rFonts w:hint="eastAsia"/>
          <w:sz w:val="30"/>
          <w:szCs w:val="30"/>
        </w:rPr>
        <w:t>号刑事判决第一项，即被告人黄某甲犯洗钱罪，判处有期徒刑四年，并处罚金七万五千元。</w:t>
      </w:r>
    </w:p>
    <w:p w:rsidR="008C2830" w:rsidRDefault="008C2830">
      <w:pPr>
        <w:spacing w:line="500" w:lineRule="atLeast"/>
        <w:ind w:firstLine="600"/>
        <w:divId w:val="110899115"/>
        <w:rPr>
          <w:rFonts w:hint="eastAsia"/>
          <w:sz w:val="30"/>
          <w:szCs w:val="30"/>
        </w:rPr>
      </w:pPr>
      <w:r>
        <w:rPr>
          <w:rFonts w:hint="eastAsia"/>
          <w:sz w:val="30"/>
          <w:szCs w:val="30"/>
        </w:rPr>
        <w:t>三、上诉人黄某甲犯掩饰、隐瞒犯罪所得罪，判处有期徒刑三年，并处罚金人民币五万元。（刑期从判决执行之日起计算。判决执行以前先行羁押的，羁押一日折抵刑期一日，监视居住二日折抵刑期一日，即从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日止。罚金自本判决生效之次日起十日内向原审法院缴纳。）</w:t>
      </w:r>
    </w:p>
    <w:p w:rsidR="008C2830" w:rsidRDefault="008C2830">
      <w:pPr>
        <w:spacing w:line="500" w:lineRule="atLeast"/>
        <w:ind w:firstLine="600"/>
        <w:divId w:val="1500192751"/>
        <w:rPr>
          <w:rFonts w:hint="eastAsia"/>
          <w:sz w:val="30"/>
          <w:szCs w:val="30"/>
        </w:rPr>
      </w:pPr>
      <w:r>
        <w:rPr>
          <w:rFonts w:hint="eastAsia"/>
          <w:sz w:val="30"/>
          <w:szCs w:val="30"/>
        </w:rPr>
        <w:t>本判决为终审判决。</w:t>
      </w:r>
    </w:p>
    <w:p w:rsidR="008C2830" w:rsidRDefault="008C2830">
      <w:pPr>
        <w:spacing w:line="500" w:lineRule="atLeast"/>
        <w:jc w:val="right"/>
        <w:divId w:val="604390317"/>
        <w:rPr>
          <w:rFonts w:hint="eastAsia"/>
          <w:sz w:val="30"/>
          <w:szCs w:val="30"/>
        </w:rPr>
      </w:pPr>
      <w:r>
        <w:rPr>
          <w:rFonts w:hint="eastAsia"/>
          <w:sz w:val="30"/>
          <w:szCs w:val="30"/>
        </w:rPr>
        <w:t>审判长　徐　兵</w:t>
      </w:r>
    </w:p>
    <w:p w:rsidR="008C2830" w:rsidRDefault="008C2830">
      <w:pPr>
        <w:spacing w:line="500" w:lineRule="atLeast"/>
        <w:jc w:val="right"/>
        <w:divId w:val="1648827399"/>
        <w:rPr>
          <w:rFonts w:hint="eastAsia"/>
          <w:sz w:val="30"/>
          <w:szCs w:val="30"/>
        </w:rPr>
      </w:pPr>
      <w:r>
        <w:rPr>
          <w:rFonts w:hint="eastAsia"/>
          <w:sz w:val="30"/>
          <w:szCs w:val="30"/>
        </w:rPr>
        <w:t>审判员　杨梅珍</w:t>
      </w:r>
    </w:p>
    <w:p w:rsidR="008C2830" w:rsidRDefault="008C2830">
      <w:pPr>
        <w:spacing w:line="500" w:lineRule="atLeast"/>
        <w:jc w:val="right"/>
        <w:divId w:val="1469514645"/>
        <w:rPr>
          <w:rFonts w:hint="eastAsia"/>
          <w:sz w:val="30"/>
          <w:szCs w:val="30"/>
        </w:rPr>
      </w:pPr>
      <w:r>
        <w:rPr>
          <w:rFonts w:hint="eastAsia"/>
          <w:sz w:val="30"/>
          <w:szCs w:val="30"/>
        </w:rPr>
        <w:t>审判员　庞美娟</w:t>
      </w:r>
    </w:p>
    <w:p w:rsidR="008C2830" w:rsidRDefault="008C2830">
      <w:pPr>
        <w:spacing w:line="500" w:lineRule="atLeast"/>
        <w:jc w:val="right"/>
        <w:divId w:val="1710304244"/>
        <w:rPr>
          <w:rFonts w:hint="eastAsia"/>
          <w:sz w:val="30"/>
          <w:szCs w:val="30"/>
        </w:rPr>
      </w:pPr>
      <w:r>
        <w:rPr>
          <w:rFonts w:hint="eastAsia"/>
          <w:sz w:val="30"/>
          <w:szCs w:val="30"/>
        </w:rPr>
        <w:t>二〇一六年十一月一日</w:t>
      </w:r>
    </w:p>
    <w:p w:rsidR="008C2830" w:rsidRDefault="008C2830">
      <w:pPr>
        <w:spacing w:line="500" w:lineRule="atLeast"/>
        <w:jc w:val="right"/>
        <w:divId w:val="1424912554"/>
        <w:rPr>
          <w:rFonts w:hint="eastAsia"/>
          <w:sz w:val="30"/>
          <w:szCs w:val="30"/>
        </w:rPr>
      </w:pPr>
      <w:r>
        <w:rPr>
          <w:rFonts w:hint="eastAsia"/>
          <w:sz w:val="30"/>
          <w:szCs w:val="30"/>
        </w:rPr>
        <w:t>书记员　宿腾飞</w:t>
      </w:r>
    </w:p>
    <w:p w:rsidR="008C2830" w:rsidRDefault="008C2830">
      <w:pPr>
        <w:spacing w:line="500" w:lineRule="atLeast"/>
        <w:ind w:firstLine="600"/>
        <w:divId w:val="1648390944"/>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830" w:rsidRDefault="008C2830" w:rsidP="008C2830">
      <w:pPr>
        <w:rPr>
          <w:rFonts w:hint="eastAsia"/>
        </w:rPr>
      </w:pPr>
      <w:r>
        <w:separator/>
      </w:r>
    </w:p>
  </w:endnote>
  <w:endnote w:type="continuationSeparator" w:id="0">
    <w:p w:rsidR="008C2830" w:rsidRDefault="008C2830" w:rsidP="008C28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830" w:rsidRDefault="008C2830" w:rsidP="008C2830">
      <w:pPr>
        <w:rPr>
          <w:rFonts w:hint="eastAsia"/>
        </w:rPr>
      </w:pPr>
      <w:r>
        <w:separator/>
      </w:r>
    </w:p>
  </w:footnote>
  <w:footnote w:type="continuationSeparator" w:id="0">
    <w:p w:rsidR="008C2830" w:rsidRDefault="008C2830" w:rsidP="008C28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830"/>
    <w:rsid w:val="002A6721"/>
    <w:rsid w:val="008C2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2830"/>
    <w:pPr>
      <w:tabs>
        <w:tab w:val="center" w:pos="4153"/>
        <w:tab w:val="right" w:pos="8306"/>
      </w:tabs>
      <w:snapToGrid w:val="0"/>
      <w:jc w:val="center"/>
    </w:pPr>
    <w:rPr>
      <w:sz w:val="18"/>
      <w:szCs w:val="18"/>
    </w:rPr>
  </w:style>
  <w:style w:type="character" w:customStyle="1" w:styleId="a4">
    <w:name w:val="页眉 字符"/>
    <w:basedOn w:val="a0"/>
    <w:link w:val="a3"/>
    <w:uiPriority w:val="99"/>
    <w:rsid w:val="008C2830"/>
    <w:rPr>
      <w:rFonts w:ascii="宋体" w:eastAsia="宋体" w:hAnsi="宋体" w:cs="宋体"/>
      <w:sz w:val="18"/>
      <w:szCs w:val="18"/>
    </w:rPr>
  </w:style>
  <w:style w:type="paragraph" w:styleId="a5">
    <w:name w:val="footer"/>
    <w:basedOn w:val="a"/>
    <w:link w:val="a6"/>
    <w:uiPriority w:val="99"/>
    <w:unhideWhenUsed/>
    <w:rsid w:val="008C2830"/>
    <w:pPr>
      <w:tabs>
        <w:tab w:val="center" w:pos="4153"/>
        <w:tab w:val="right" w:pos="8306"/>
      </w:tabs>
      <w:snapToGrid w:val="0"/>
    </w:pPr>
    <w:rPr>
      <w:sz w:val="18"/>
      <w:szCs w:val="18"/>
    </w:rPr>
  </w:style>
  <w:style w:type="character" w:customStyle="1" w:styleId="a6">
    <w:name w:val="页脚 字符"/>
    <w:basedOn w:val="a0"/>
    <w:link w:val="a5"/>
    <w:uiPriority w:val="99"/>
    <w:rsid w:val="008C28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99115">
      <w:marLeft w:val="0"/>
      <w:marRight w:val="0"/>
      <w:marTop w:val="10"/>
      <w:marBottom w:val="10"/>
      <w:divBdr>
        <w:top w:val="none" w:sz="0" w:space="0" w:color="auto"/>
        <w:left w:val="none" w:sz="0" w:space="0" w:color="auto"/>
        <w:bottom w:val="none" w:sz="0" w:space="0" w:color="auto"/>
        <w:right w:val="none" w:sz="0" w:space="0" w:color="auto"/>
      </w:divBdr>
    </w:div>
    <w:div w:id="175653284">
      <w:marLeft w:val="0"/>
      <w:marRight w:val="0"/>
      <w:marTop w:val="10"/>
      <w:marBottom w:val="10"/>
      <w:divBdr>
        <w:top w:val="none" w:sz="0" w:space="0" w:color="auto"/>
        <w:left w:val="none" w:sz="0" w:space="0" w:color="auto"/>
        <w:bottom w:val="none" w:sz="0" w:space="0" w:color="auto"/>
        <w:right w:val="none" w:sz="0" w:space="0" w:color="auto"/>
      </w:divBdr>
    </w:div>
    <w:div w:id="337124102">
      <w:marLeft w:val="0"/>
      <w:marRight w:val="0"/>
      <w:marTop w:val="10"/>
      <w:marBottom w:val="10"/>
      <w:divBdr>
        <w:top w:val="none" w:sz="0" w:space="0" w:color="auto"/>
        <w:left w:val="none" w:sz="0" w:space="0" w:color="auto"/>
        <w:bottom w:val="none" w:sz="0" w:space="0" w:color="auto"/>
        <w:right w:val="none" w:sz="0" w:space="0" w:color="auto"/>
      </w:divBdr>
    </w:div>
    <w:div w:id="338502814">
      <w:marLeft w:val="0"/>
      <w:marRight w:val="0"/>
      <w:marTop w:val="10"/>
      <w:marBottom w:val="10"/>
      <w:divBdr>
        <w:top w:val="none" w:sz="0" w:space="0" w:color="auto"/>
        <w:left w:val="none" w:sz="0" w:space="0" w:color="auto"/>
        <w:bottom w:val="none" w:sz="0" w:space="0" w:color="auto"/>
        <w:right w:val="none" w:sz="0" w:space="0" w:color="auto"/>
      </w:divBdr>
    </w:div>
    <w:div w:id="352389461">
      <w:marLeft w:val="0"/>
      <w:marRight w:val="0"/>
      <w:marTop w:val="10"/>
      <w:marBottom w:val="10"/>
      <w:divBdr>
        <w:top w:val="none" w:sz="0" w:space="0" w:color="auto"/>
        <w:left w:val="none" w:sz="0" w:space="0" w:color="auto"/>
        <w:bottom w:val="none" w:sz="0" w:space="0" w:color="auto"/>
        <w:right w:val="none" w:sz="0" w:space="0" w:color="auto"/>
      </w:divBdr>
    </w:div>
    <w:div w:id="459955634">
      <w:marLeft w:val="0"/>
      <w:marRight w:val="0"/>
      <w:marTop w:val="10"/>
      <w:marBottom w:val="10"/>
      <w:divBdr>
        <w:top w:val="none" w:sz="0" w:space="0" w:color="auto"/>
        <w:left w:val="none" w:sz="0" w:space="0" w:color="auto"/>
        <w:bottom w:val="none" w:sz="0" w:space="0" w:color="auto"/>
        <w:right w:val="none" w:sz="0" w:space="0" w:color="auto"/>
      </w:divBdr>
    </w:div>
    <w:div w:id="604390317">
      <w:marLeft w:val="0"/>
      <w:marRight w:val="720"/>
      <w:marTop w:val="10"/>
      <w:marBottom w:val="10"/>
      <w:divBdr>
        <w:top w:val="none" w:sz="0" w:space="0" w:color="auto"/>
        <w:left w:val="none" w:sz="0" w:space="0" w:color="auto"/>
        <w:bottom w:val="none" w:sz="0" w:space="0" w:color="auto"/>
        <w:right w:val="none" w:sz="0" w:space="0" w:color="auto"/>
      </w:divBdr>
    </w:div>
    <w:div w:id="633095459">
      <w:marLeft w:val="0"/>
      <w:marRight w:val="0"/>
      <w:marTop w:val="10"/>
      <w:marBottom w:val="10"/>
      <w:divBdr>
        <w:top w:val="none" w:sz="0" w:space="0" w:color="auto"/>
        <w:left w:val="none" w:sz="0" w:space="0" w:color="auto"/>
        <w:bottom w:val="none" w:sz="0" w:space="0" w:color="auto"/>
        <w:right w:val="none" w:sz="0" w:space="0" w:color="auto"/>
      </w:divBdr>
    </w:div>
    <w:div w:id="653218851">
      <w:marLeft w:val="0"/>
      <w:marRight w:val="0"/>
      <w:marTop w:val="10"/>
      <w:marBottom w:val="10"/>
      <w:divBdr>
        <w:top w:val="none" w:sz="0" w:space="0" w:color="auto"/>
        <w:left w:val="none" w:sz="0" w:space="0" w:color="auto"/>
        <w:bottom w:val="none" w:sz="0" w:space="0" w:color="auto"/>
        <w:right w:val="none" w:sz="0" w:space="0" w:color="auto"/>
      </w:divBdr>
    </w:div>
    <w:div w:id="653534875">
      <w:marLeft w:val="0"/>
      <w:marRight w:val="0"/>
      <w:marTop w:val="10"/>
      <w:marBottom w:val="10"/>
      <w:divBdr>
        <w:top w:val="none" w:sz="0" w:space="0" w:color="auto"/>
        <w:left w:val="none" w:sz="0" w:space="0" w:color="auto"/>
        <w:bottom w:val="none" w:sz="0" w:space="0" w:color="auto"/>
        <w:right w:val="none" w:sz="0" w:space="0" w:color="auto"/>
      </w:divBdr>
    </w:div>
    <w:div w:id="972755099">
      <w:marLeft w:val="0"/>
      <w:marRight w:val="0"/>
      <w:marTop w:val="10"/>
      <w:marBottom w:val="10"/>
      <w:divBdr>
        <w:top w:val="none" w:sz="0" w:space="0" w:color="auto"/>
        <w:left w:val="none" w:sz="0" w:space="0" w:color="auto"/>
        <w:bottom w:val="none" w:sz="0" w:space="0" w:color="auto"/>
        <w:right w:val="none" w:sz="0" w:space="0" w:color="auto"/>
      </w:divBdr>
    </w:div>
    <w:div w:id="1110583573">
      <w:marLeft w:val="0"/>
      <w:marRight w:val="0"/>
      <w:marTop w:val="10"/>
      <w:marBottom w:val="10"/>
      <w:divBdr>
        <w:top w:val="none" w:sz="0" w:space="0" w:color="auto"/>
        <w:left w:val="none" w:sz="0" w:space="0" w:color="auto"/>
        <w:bottom w:val="none" w:sz="0" w:space="0" w:color="auto"/>
        <w:right w:val="none" w:sz="0" w:space="0" w:color="auto"/>
      </w:divBdr>
    </w:div>
    <w:div w:id="1173573600">
      <w:marLeft w:val="0"/>
      <w:marRight w:val="0"/>
      <w:marTop w:val="10"/>
      <w:marBottom w:val="10"/>
      <w:divBdr>
        <w:top w:val="none" w:sz="0" w:space="0" w:color="auto"/>
        <w:left w:val="none" w:sz="0" w:space="0" w:color="auto"/>
        <w:bottom w:val="none" w:sz="0" w:space="0" w:color="auto"/>
        <w:right w:val="none" w:sz="0" w:space="0" w:color="auto"/>
      </w:divBdr>
    </w:div>
    <w:div w:id="1213075544">
      <w:marLeft w:val="0"/>
      <w:marRight w:val="0"/>
      <w:marTop w:val="10"/>
      <w:marBottom w:val="10"/>
      <w:divBdr>
        <w:top w:val="none" w:sz="0" w:space="0" w:color="auto"/>
        <w:left w:val="none" w:sz="0" w:space="0" w:color="auto"/>
        <w:bottom w:val="none" w:sz="0" w:space="0" w:color="auto"/>
        <w:right w:val="none" w:sz="0" w:space="0" w:color="auto"/>
      </w:divBdr>
    </w:div>
    <w:div w:id="1251507748">
      <w:marLeft w:val="0"/>
      <w:marRight w:val="0"/>
      <w:marTop w:val="10"/>
      <w:marBottom w:val="10"/>
      <w:divBdr>
        <w:top w:val="none" w:sz="0" w:space="0" w:color="auto"/>
        <w:left w:val="none" w:sz="0" w:space="0" w:color="auto"/>
        <w:bottom w:val="none" w:sz="0" w:space="0" w:color="auto"/>
        <w:right w:val="none" w:sz="0" w:space="0" w:color="auto"/>
      </w:divBdr>
    </w:div>
    <w:div w:id="1424912554">
      <w:marLeft w:val="0"/>
      <w:marRight w:val="720"/>
      <w:marTop w:val="10"/>
      <w:marBottom w:val="10"/>
      <w:divBdr>
        <w:top w:val="none" w:sz="0" w:space="0" w:color="auto"/>
        <w:left w:val="none" w:sz="0" w:space="0" w:color="auto"/>
        <w:bottom w:val="none" w:sz="0" w:space="0" w:color="auto"/>
        <w:right w:val="none" w:sz="0" w:space="0" w:color="auto"/>
      </w:divBdr>
    </w:div>
    <w:div w:id="1469514645">
      <w:marLeft w:val="0"/>
      <w:marRight w:val="720"/>
      <w:marTop w:val="10"/>
      <w:marBottom w:val="10"/>
      <w:divBdr>
        <w:top w:val="none" w:sz="0" w:space="0" w:color="auto"/>
        <w:left w:val="none" w:sz="0" w:space="0" w:color="auto"/>
        <w:bottom w:val="none" w:sz="0" w:space="0" w:color="auto"/>
        <w:right w:val="none" w:sz="0" w:space="0" w:color="auto"/>
      </w:divBdr>
    </w:div>
    <w:div w:id="1500192751">
      <w:marLeft w:val="0"/>
      <w:marRight w:val="0"/>
      <w:marTop w:val="10"/>
      <w:marBottom w:val="10"/>
      <w:divBdr>
        <w:top w:val="none" w:sz="0" w:space="0" w:color="auto"/>
        <w:left w:val="none" w:sz="0" w:space="0" w:color="auto"/>
        <w:bottom w:val="none" w:sz="0" w:space="0" w:color="auto"/>
        <w:right w:val="none" w:sz="0" w:space="0" w:color="auto"/>
      </w:divBdr>
    </w:div>
    <w:div w:id="1574390412">
      <w:marLeft w:val="0"/>
      <w:marRight w:val="0"/>
      <w:marTop w:val="10"/>
      <w:marBottom w:val="10"/>
      <w:divBdr>
        <w:top w:val="none" w:sz="0" w:space="0" w:color="auto"/>
        <w:left w:val="none" w:sz="0" w:space="0" w:color="auto"/>
        <w:bottom w:val="none" w:sz="0" w:space="0" w:color="auto"/>
        <w:right w:val="none" w:sz="0" w:space="0" w:color="auto"/>
      </w:divBdr>
    </w:div>
    <w:div w:id="1646278552">
      <w:marLeft w:val="0"/>
      <w:marRight w:val="0"/>
      <w:marTop w:val="10"/>
      <w:marBottom w:val="10"/>
      <w:divBdr>
        <w:top w:val="none" w:sz="0" w:space="0" w:color="auto"/>
        <w:left w:val="none" w:sz="0" w:space="0" w:color="auto"/>
        <w:bottom w:val="none" w:sz="0" w:space="0" w:color="auto"/>
        <w:right w:val="none" w:sz="0" w:space="0" w:color="auto"/>
      </w:divBdr>
    </w:div>
    <w:div w:id="1648390944">
      <w:marLeft w:val="0"/>
      <w:marRight w:val="0"/>
      <w:marTop w:val="10"/>
      <w:marBottom w:val="10"/>
      <w:divBdr>
        <w:top w:val="none" w:sz="0" w:space="0" w:color="auto"/>
        <w:left w:val="none" w:sz="0" w:space="0" w:color="auto"/>
        <w:bottom w:val="none" w:sz="0" w:space="0" w:color="auto"/>
        <w:right w:val="none" w:sz="0" w:space="0" w:color="auto"/>
      </w:divBdr>
    </w:div>
    <w:div w:id="1648827399">
      <w:marLeft w:val="0"/>
      <w:marRight w:val="720"/>
      <w:marTop w:val="10"/>
      <w:marBottom w:val="10"/>
      <w:divBdr>
        <w:top w:val="none" w:sz="0" w:space="0" w:color="auto"/>
        <w:left w:val="none" w:sz="0" w:space="0" w:color="auto"/>
        <w:bottom w:val="none" w:sz="0" w:space="0" w:color="auto"/>
        <w:right w:val="none" w:sz="0" w:space="0" w:color="auto"/>
      </w:divBdr>
    </w:div>
    <w:div w:id="1692417227">
      <w:marLeft w:val="0"/>
      <w:marRight w:val="0"/>
      <w:marTop w:val="10"/>
      <w:marBottom w:val="10"/>
      <w:divBdr>
        <w:top w:val="none" w:sz="0" w:space="0" w:color="auto"/>
        <w:left w:val="none" w:sz="0" w:space="0" w:color="auto"/>
        <w:bottom w:val="none" w:sz="0" w:space="0" w:color="auto"/>
        <w:right w:val="none" w:sz="0" w:space="0" w:color="auto"/>
      </w:divBdr>
    </w:div>
    <w:div w:id="1710304244">
      <w:marLeft w:val="0"/>
      <w:marRight w:val="720"/>
      <w:marTop w:val="10"/>
      <w:marBottom w:val="10"/>
      <w:divBdr>
        <w:top w:val="none" w:sz="0" w:space="0" w:color="auto"/>
        <w:left w:val="none" w:sz="0" w:space="0" w:color="auto"/>
        <w:bottom w:val="none" w:sz="0" w:space="0" w:color="auto"/>
        <w:right w:val="none" w:sz="0" w:space="0" w:color="auto"/>
      </w:divBdr>
    </w:div>
    <w:div w:id="1741559437">
      <w:marLeft w:val="0"/>
      <w:marRight w:val="0"/>
      <w:marTop w:val="10"/>
      <w:marBottom w:val="10"/>
      <w:divBdr>
        <w:top w:val="none" w:sz="0" w:space="0" w:color="auto"/>
        <w:left w:val="none" w:sz="0" w:space="0" w:color="auto"/>
        <w:bottom w:val="none" w:sz="0" w:space="0" w:color="auto"/>
        <w:right w:val="none" w:sz="0" w:space="0" w:color="auto"/>
      </w:divBdr>
    </w:div>
    <w:div w:id="1844005053">
      <w:marLeft w:val="0"/>
      <w:marRight w:val="0"/>
      <w:marTop w:val="10"/>
      <w:marBottom w:val="10"/>
      <w:divBdr>
        <w:top w:val="none" w:sz="0" w:space="0" w:color="auto"/>
        <w:left w:val="none" w:sz="0" w:space="0" w:color="auto"/>
        <w:bottom w:val="none" w:sz="0" w:space="0" w:color="auto"/>
        <w:right w:val="none" w:sz="0" w:space="0" w:color="auto"/>
      </w:divBdr>
    </w:div>
    <w:div w:id="1850362688">
      <w:marLeft w:val="0"/>
      <w:marRight w:val="0"/>
      <w:marTop w:val="10"/>
      <w:marBottom w:val="10"/>
      <w:divBdr>
        <w:top w:val="none" w:sz="0" w:space="0" w:color="auto"/>
        <w:left w:val="none" w:sz="0" w:space="0" w:color="auto"/>
        <w:bottom w:val="none" w:sz="0" w:space="0" w:color="auto"/>
        <w:right w:val="none" w:sz="0" w:space="0" w:color="auto"/>
      </w:divBdr>
    </w:div>
    <w:div w:id="1938977670">
      <w:marLeft w:val="0"/>
      <w:marRight w:val="0"/>
      <w:marTop w:val="10"/>
      <w:marBottom w:val="10"/>
      <w:divBdr>
        <w:top w:val="none" w:sz="0" w:space="0" w:color="auto"/>
        <w:left w:val="none" w:sz="0" w:space="0" w:color="auto"/>
        <w:bottom w:val="none" w:sz="0" w:space="0" w:color="auto"/>
        <w:right w:val="none" w:sz="0" w:space="0" w:color="auto"/>
      </w:divBdr>
    </w:div>
    <w:div w:id="1951739431">
      <w:marLeft w:val="0"/>
      <w:marRight w:val="0"/>
      <w:marTop w:val="10"/>
      <w:marBottom w:val="10"/>
      <w:divBdr>
        <w:top w:val="none" w:sz="0" w:space="0" w:color="auto"/>
        <w:left w:val="none" w:sz="0" w:space="0" w:color="auto"/>
        <w:bottom w:val="none" w:sz="0" w:space="0" w:color="auto"/>
        <w:right w:val="none" w:sz="0" w:space="0" w:color="auto"/>
      </w:divBdr>
    </w:div>
    <w:div w:id="21296217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