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32C6D" w:rsidRDefault="00D32C6D">
      <w:pPr>
        <w:spacing w:line="500" w:lineRule="atLeast"/>
        <w:jc w:val="center"/>
        <w:divId w:val="294220750"/>
        <w:rPr>
          <w:rFonts w:ascii="黑体" w:eastAsia="黑体" w:hAnsi="黑体"/>
          <w:sz w:val="36"/>
          <w:szCs w:val="36"/>
        </w:rPr>
      </w:pPr>
      <w:r>
        <w:rPr>
          <w:rFonts w:ascii="黑体" w:eastAsia="黑体" w:hAnsi="黑体" w:hint="eastAsia"/>
          <w:sz w:val="36"/>
          <w:szCs w:val="36"/>
        </w:rPr>
        <w:t>广东省佛山市南海区人民法院</w:t>
      </w:r>
    </w:p>
    <w:p w:rsidR="00D32C6D" w:rsidRDefault="00D32C6D">
      <w:pPr>
        <w:spacing w:line="500" w:lineRule="atLeast"/>
        <w:jc w:val="center"/>
        <w:divId w:val="16398020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32C6D" w:rsidRDefault="00D32C6D">
      <w:pPr>
        <w:spacing w:line="500" w:lineRule="atLeast"/>
        <w:jc w:val="right"/>
        <w:divId w:val="1889142238"/>
        <w:rPr>
          <w:rFonts w:hint="eastAsia"/>
          <w:sz w:val="30"/>
          <w:szCs w:val="30"/>
        </w:rPr>
      </w:pPr>
      <w:r>
        <w:rPr>
          <w:rFonts w:hint="eastAsia"/>
          <w:sz w:val="30"/>
          <w:szCs w:val="30"/>
        </w:rPr>
        <w:t>（</w:t>
      </w:r>
      <w:r>
        <w:rPr>
          <w:rFonts w:hint="eastAsia"/>
          <w:sz w:val="30"/>
          <w:szCs w:val="30"/>
        </w:rPr>
        <w:t>2014</w:t>
      </w:r>
      <w:r>
        <w:rPr>
          <w:rFonts w:hint="eastAsia"/>
          <w:sz w:val="30"/>
          <w:szCs w:val="30"/>
        </w:rPr>
        <w:t>）佛南法刑初字第</w:t>
      </w:r>
      <w:r>
        <w:rPr>
          <w:rFonts w:hint="eastAsia"/>
          <w:sz w:val="30"/>
          <w:szCs w:val="30"/>
        </w:rPr>
        <w:t>2949</w:t>
      </w:r>
      <w:r>
        <w:rPr>
          <w:rFonts w:hint="eastAsia"/>
          <w:sz w:val="30"/>
          <w:szCs w:val="30"/>
        </w:rPr>
        <w:t>号</w:t>
      </w:r>
    </w:p>
    <w:p w:rsidR="00D32C6D" w:rsidRDefault="00D32C6D">
      <w:pPr>
        <w:spacing w:line="500" w:lineRule="atLeast"/>
        <w:ind w:firstLine="600"/>
        <w:divId w:val="759451754"/>
        <w:rPr>
          <w:rFonts w:hint="eastAsia"/>
          <w:sz w:val="30"/>
          <w:szCs w:val="30"/>
        </w:rPr>
      </w:pPr>
      <w:r>
        <w:rPr>
          <w:rFonts w:hint="eastAsia"/>
          <w:sz w:val="30"/>
          <w:szCs w:val="30"/>
        </w:rPr>
        <w:t>公诉机关佛山市南海区人民检察院。</w:t>
      </w:r>
    </w:p>
    <w:p w:rsidR="00D32C6D" w:rsidRDefault="00D32C6D">
      <w:pPr>
        <w:spacing w:line="500" w:lineRule="atLeast"/>
        <w:ind w:firstLine="600"/>
        <w:divId w:val="258610478"/>
        <w:rPr>
          <w:rFonts w:hint="eastAsia"/>
          <w:sz w:val="30"/>
          <w:szCs w:val="30"/>
        </w:rPr>
      </w:pPr>
      <w:r>
        <w:rPr>
          <w:rFonts w:hint="eastAsia"/>
          <w:sz w:val="30"/>
          <w:szCs w:val="30"/>
        </w:rPr>
        <w:t>被告人黄锐某（曾用名黄锐成），男，</w:t>
      </w:r>
      <w:r>
        <w:rPr>
          <w:rFonts w:hint="eastAsia"/>
          <w:sz w:val="30"/>
          <w:szCs w:val="30"/>
        </w:rPr>
        <w:t>1972</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日出生于佛山市南海区，汉族，高中文化，佛山市恒瑞交通发展有限公司股东、副总经理，住南海区桂城街道中海花园紫荆街</w:t>
      </w:r>
      <w:r>
        <w:rPr>
          <w:rFonts w:hint="eastAsia"/>
          <w:sz w:val="30"/>
          <w:szCs w:val="30"/>
        </w:rPr>
        <w:t>6</w:t>
      </w:r>
      <w:r>
        <w:rPr>
          <w:rFonts w:hint="eastAsia"/>
          <w:sz w:val="30"/>
          <w:szCs w:val="30"/>
        </w:rPr>
        <w:t>座</w:t>
      </w:r>
      <w:r>
        <w:rPr>
          <w:rFonts w:hint="eastAsia"/>
          <w:sz w:val="30"/>
          <w:szCs w:val="30"/>
        </w:rPr>
        <w:t>401</w:t>
      </w:r>
      <w:r>
        <w:rPr>
          <w:rFonts w:hint="eastAsia"/>
          <w:sz w:val="30"/>
          <w:szCs w:val="30"/>
        </w:rPr>
        <w:t>房，因本案于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日被取保候审。</w:t>
      </w:r>
    </w:p>
    <w:p w:rsidR="00D32C6D" w:rsidRDefault="00D32C6D">
      <w:pPr>
        <w:spacing w:line="500" w:lineRule="atLeast"/>
        <w:ind w:firstLine="600"/>
        <w:divId w:val="625237135"/>
        <w:rPr>
          <w:rFonts w:hint="eastAsia"/>
          <w:sz w:val="30"/>
          <w:szCs w:val="30"/>
        </w:rPr>
      </w:pPr>
      <w:r>
        <w:rPr>
          <w:rFonts w:hint="eastAsia"/>
          <w:sz w:val="30"/>
          <w:szCs w:val="30"/>
        </w:rPr>
        <w:t>辩护人李镇，广东东达昊律师事务所律师。</w:t>
      </w:r>
    </w:p>
    <w:p w:rsidR="00D32C6D" w:rsidRDefault="00D32C6D">
      <w:pPr>
        <w:spacing w:line="500" w:lineRule="atLeast"/>
        <w:ind w:firstLine="600"/>
        <w:divId w:val="1872375588"/>
        <w:rPr>
          <w:rFonts w:hint="eastAsia"/>
          <w:sz w:val="30"/>
          <w:szCs w:val="30"/>
        </w:rPr>
      </w:pPr>
      <w:r>
        <w:rPr>
          <w:rFonts w:hint="eastAsia"/>
          <w:sz w:val="30"/>
          <w:szCs w:val="30"/>
        </w:rPr>
        <w:t>佛山市南海区人民检察院以佛南检公诉刑诉（</w:t>
      </w:r>
      <w:r>
        <w:rPr>
          <w:rFonts w:hint="eastAsia"/>
          <w:sz w:val="30"/>
          <w:szCs w:val="30"/>
        </w:rPr>
        <w:t>2014</w:t>
      </w:r>
      <w:r>
        <w:rPr>
          <w:rFonts w:hint="eastAsia"/>
          <w:sz w:val="30"/>
          <w:szCs w:val="30"/>
        </w:rPr>
        <w:t>）</w:t>
      </w:r>
      <w:r>
        <w:rPr>
          <w:rFonts w:hint="eastAsia"/>
          <w:sz w:val="30"/>
          <w:szCs w:val="30"/>
        </w:rPr>
        <w:t>2935</w:t>
      </w:r>
      <w:r>
        <w:rPr>
          <w:rFonts w:hint="eastAsia"/>
          <w:sz w:val="30"/>
          <w:szCs w:val="30"/>
        </w:rPr>
        <w:t>号起诉书指控被告人黄锐某犯单位行贿罪，于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日向本院提起公诉。本院依法适用普通程序，组成合议庭，公开开庭审理了本案。佛山市南海区人民检察院指派检察员王全出庭支持公诉，被告人黄锐某及其辩护人李镇均到庭参加诉讼。本案现已审理终结。</w:t>
      </w:r>
    </w:p>
    <w:p w:rsidR="00D32C6D" w:rsidRDefault="00D32C6D">
      <w:pPr>
        <w:spacing w:line="500" w:lineRule="atLeast"/>
        <w:ind w:firstLine="600"/>
        <w:divId w:val="2086951518"/>
        <w:rPr>
          <w:rFonts w:hint="eastAsia"/>
          <w:sz w:val="30"/>
          <w:szCs w:val="30"/>
        </w:rPr>
      </w:pPr>
      <w:r>
        <w:rPr>
          <w:rFonts w:hint="eastAsia"/>
          <w:sz w:val="30"/>
          <w:szCs w:val="30"/>
        </w:rPr>
        <w:t>公诉机关指控，</w:t>
      </w:r>
      <w:r>
        <w:rPr>
          <w:rFonts w:hint="eastAsia"/>
          <w:sz w:val="30"/>
          <w:szCs w:val="30"/>
        </w:rPr>
        <w:t>2006</w:t>
      </w:r>
      <w:r>
        <w:rPr>
          <w:rFonts w:hint="eastAsia"/>
          <w:sz w:val="30"/>
          <w:szCs w:val="30"/>
        </w:rPr>
        <w:t>年，广州市第二公共汽车公司（全民所有制企业，以下简称广州二汽）中标佛山市南海区大沥客运站的经营管理，成立佛山市恒瑞交通发展有限公司（以下简称恒瑞公司），股东为李要某（另案处理）及其经营的佛山市南海诚道商品信息咨询有限公司（以下简称诚道公司）、被告人黄锐某及其经营的佛山市南海骏鸣贸易有限公司（以下简称骏鸣公司）、广州二汽，其中黄锐某和骏鸣公司持股</w:t>
      </w:r>
      <w:r>
        <w:rPr>
          <w:rFonts w:hint="eastAsia"/>
          <w:sz w:val="30"/>
          <w:szCs w:val="30"/>
        </w:rPr>
        <w:t>36%</w:t>
      </w:r>
      <w:r>
        <w:rPr>
          <w:rFonts w:hint="eastAsia"/>
          <w:sz w:val="30"/>
          <w:szCs w:val="30"/>
        </w:rPr>
        <w:t>，李要某和诚道公司持股</w:t>
      </w:r>
      <w:r>
        <w:rPr>
          <w:rFonts w:hint="eastAsia"/>
          <w:sz w:val="30"/>
          <w:szCs w:val="30"/>
        </w:rPr>
        <w:t>40%</w:t>
      </w:r>
      <w:r>
        <w:rPr>
          <w:rFonts w:hint="eastAsia"/>
          <w:sz w:val="30"/>
          <w:szCs w:val="30"/>
        </w:rPr>
        <w:t>，广州二汽持股</w:t>
      </w:r>
      <w:r>
        <w:rPr>
          <w:rFonts w:hint="eastAsia"/>
          <w:sz w:val="30"/>
          <w:szCs w:val="30"/>
        </w:rPr>
        <w:t>24%</w:t>
      </w:r>
      <w:r>
        <w:rPr>
          <w:rFonts w:hint="eastAsia"/>
          <w:sz w:val="30"/>
          <w:szCs w:val="30"/>
        </w:rPr>
        <w:t>。广州二汽的周光某（另案处理）任恒瑞公司总经理、法定代表人，李要某、黄锐某均是董事会董事成员，黄锐某兼任副总经理。</w:t>
      </w:r>
    </w:p>
    <w:p w:rsidR="00D32C6D" w:rsidRDefault="00D32C6D">
      <w:pPr>
        <w:spacing w:line="500" w:lineRule="atLeast"/>
        <w:ind w:firstLine="600"/>
        <w:divId w:val="1765684720"/>
        <w:rPr>
          <w:rFonts w:hint="eastAsia"/>
          <w:sz w:val="30"/>
          <w:szCs w:val="30"/>
        </w:rPr>
      </w:pPr>
      <w:r>
        <w:rPr>
          <w:rFonts w:hint="eastAsia"/>
          <w:sz w:val="30"/>
          <w:szCs w:val="30"/>
        </w:rPr>
        <w:t>恒瑞公司为谋取不正当利益，请求时任南海区环境运输和城市管理局大沥交管所所长的黄润某（另案处理）协调其他部</w:t>
      </w:r>
      <w:r>
        <w:rPr>
          <w:rFonts w:hint="eastAsia"/>
          <w:sz w:val="30"/>
          <w:szCs w:val="30"/>
        </w:rPr>
        <w:lastRenderedPageBreak/>
        <w:t>门加大对大沥客运站周边环境及交通管理的执法力度。为感谢黄润某在上述事情上对恒瑞公司的关照，经总经理周光某和股东李要某、黄锐某决定，从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月期间，分多次送给黄润某贿赂款共计</w:t>
      </w:r>
      <w:r>
        <w:rPr>
          <w:rFonts w:hint="eastAsia"/>
          <w:sz w:val="30"/>
          <w:szCs w:val="30"/>
        </w:rPr>
        <w:t>60</w:t>
      </w:r>
      <w:r>
        <w:rPr>
          <w:rFonts w:hint="eastAsia"/>
          <w:sz w:val="30"/>
          <w:szCs w:val="30"/>
        </w:rPr>
        <w:t>万元。</w:t>
      </w:r>
    </w:p>
    <w:p w:rsidR="00D32C6D" w:rsidRDefault="00D32C6D">
      <w:pPr>
        <w:spacing w:line="500" w:lineRule="atLeast"/>
        <w:ind w:firstLine="600"/>
        <w:divId w:val="1426806549"/>
        <w:rPr>
          <w:rFonts w:hint="eastAsia"/>
          <w:sz w:val="30"/>
          <w:szCs w:val="30"/>
        </w:rPr>
      </w:pPr>
      <w:r>
        <w:rPr>
          <w:rFonts w:hint="eastAsia"/>
          <w:sz w:val="30"/>
          <w:szCs w:val="30"/>
        </w:rPr>
        <w:t>恒瑞公司为谋取不正当利益，请求时任南海区环境运输和城市管理局交通管理总站稽查大队大队长的范可某（另案处理）加大对大沥客运站周边运营环境治理等方面的工作力度。为感谢范可某在上述事情上对恒瑞公司的关照，经总经理周光某和股东李要某、黄锐某决定，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月期间，分</w:t>
      </w:r>
      <w:r>
        <w:rPr>
          <w:rFonts w:hint="eastAsia"/>
          <w:sz w:val="30"/>
          <w:szCs w:val="30"/>
        </w:rPr>
        <w:t>42</w:t>
      </w:r>
      <w:r>
        <w:rPr>
          <w:rFonts w:hint="eastAsia"/>
          <w:sz w:val="30"/>
          <w:szCs w:val="30"/>
        </w:rPr>
        <w:t>次送给范可某贿赂款共计</w:t>
      </w:r>
      <w:r>
        <w:rPr>
          <w:rFonts w:hint="eastAsia"/>
          <w:sz w:val="30"/>
          <w:szCs w:val="30"/>
        </w:rPr>
        <w:t>42</w:t>
      </w:r>
      <w:r>
        <w:rPr>
          <w:rFonts w:hint="eastAsia"/>
          <w:sz w:val="30"/>
          <w:szCs w:val="30"/>
        </w:rPr>
        <w:t>万元。</w:t>
      </w:r>
    </w:p>
    <w:p w:rsidR="00D32C6D" w:rsidRDefault="00D32C6D">
      <w:pPr>
        <w:spacing w:line="500" w:lineRule="atLeast"/>
        <w:ind w:firstLine="600"/>
        <w:divId w:val="1581139564"/>
        <w:rPr>
          <w:rFonts w:hint="eastAsia"/>
          <w:sz w:val="30"/>
          <w:szCs w:val="30"/>
        </w:rPr>
      </w:pPr>
      <w:r>
        <w:rPr>
          <w:rFonts w:hint="eastAsia"/>
          <w:sz w:val="30"/>
          <w:szCs w:val="30"/>
        </w:rPr>
        <w:t>恒瑞公司为感谢在平时运营中得到原佛山市南海区交通局副局长王志某（另案处理）的关照，经总经理周光某和股东李要某、黄锐某决定，在</w:t>
      </w:r>
      <w:r>
        <w:rPr>
          <w:rFonts w:hint="eastAsia"/>
          <w:sz w:val="30"/>
          <w:szCs w:val="30"/>
        </w:rPr>
        <w:t>2006</w:t>
      </w:r>
      <w:r>
        <w:rPr>
          <w:rFonts w:hint="eastAsia"/>
          <w:sz w:val="30"/>
          <w:szCs w:val="30"/>
        </w:rPr>
        <w:t>年送给王志某恒瑞公司的股份价值</w:t>
      </w:r>
      <w:r>
        <w:rPr>
          <w:rFonts w:hint="eastAsia"/>
          <w:sz w:val="30"/>
          <w:szCs w:val="30"/>
        </w:rPr>
        <w:t>150024</w:t>
      </w:r>
      <w:r>
        <w:rPr>
          <w:rFonts w:hint="eastAsia"/>
          <w:sz w:val="30"/>
          <w:szCs w:val="30"/>
        </w:rPr>
        <w:t>元。</w:t>
      </w:r>
    </w:p>
    <w:p w:rsidR="00D32C6D" w:rsidRDefault="00D32C6D">
      <w:pPr>
        <w:spacing w:line="500" w:lineRule="atLeast"/>
        <w:ind w:firstLine="600"/>
        <w:divId w:val="759177955"/>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月，黄锐某主动投案，如实交代了上述犯罪事实。</w:t>
      </w:r>
    </w:p>
    <w:p w:rsidR="00D32C6D" w:rsidRDefault="00D32C6D">
      <w:pPr>
        <w:spacing w:line="500" w:lineRule="atLeast"/>
        <w:ind w:firstLine="600"/>
        <w:divId w:val="44650354"/>
        <w:rPr>
          <w:rFonts w:hint="eastAsia"/>
          <w:sz w:val="30"/>
          <w:szCs w:val="30"/>
        </w:rPr>
      </w:pPr>
      <w:r>
        <w:rPr>
          <w:rFonts w:hint="eastAsia"/>
          <w:sz w:val="30"/>
          <w:szCs w:val="30"/>
        </w:rPr>
        <w:t>就上述指控，公诉机关向法庭出示了相关在案证据予以证实，并认为被告人黄锐某的行为已触犯了《中华人民共和国刑法》第三百九十三条之规定，应当以单位行贿罪追究其刑事责任；黄锐某犯罪后自动投案，如实供述自己的罪行，应当依照《中华人民共和国刑法》第六十七条第二款之规定处罚。</w:t>
      </w:r>
    </w:p>
    <w:p w:rsidR="00D32C6D" w:rsidRDefault="00D32C6D">
      <w:pPr>
        <w:spacing w:line="500" w:lineRule="atLeast"/>
        <w:ind w:firstLine="600"/>
        <w:divId w:val="1542084469"/>
        <w:rPr>
          <w:rFonts w:hint="eastAsia"/>
          <w:sz w:val="30"/>
          <w:szCs w:val="30"/>
        </w:rPr>
      </w:pPr>
      <w:r>
        <w:rPr>
          <w:rFonts w:hint="eastAsia"/>
          <w:sz w:val="30"/>
          <w:szCs w:val="30"/>
        </w:rPr>
        <w:t>被告人黄锐某对公诉机关的指控无异议。</w:t>
      </w:r>
    </w:p>
    <w:p w:rsidR="00D32C6D" w:rsidRDefault="00D32C6D">
      <w:pPr>
        <w:spacing w:line="500" w:lineRule="atLeast"/>
        <w:ind w:firstLine="600"/>
        <w:divId w:val="1064913318"/>
        <w:rPr>
          <w:rFonts w:hint="eastAsia"/>
          <w:sz w:val="30"/>
          <w:szCs w:val="30"/>
        </w:rPr>
      </w:pPr>
      <w:r>
        <w:rPr>
          <w:rFonts w:hint="eastAsia"/>
          <w:sz w:val="30"/>
          <w:szCs w:val="30"/>
        </w:rPr>
        <w:t>辩护人以被告人黄锐某有自首情节、认罪态度好为由，请求对其从轻处罚并适用缓刑。</w:t>
      </w:r>
    </w:p>
    <w:p w:rsidR="00D32C6D" w:rsidRDefault="00D32C6D">
      <w:pPr>
        <w:spacing w:line="500" w:lineRule="atLeast"/>
        <w:ind w:firstLine="600"/>
        <w:divId w:val="170411915"/>
        <w:rPr>
          <w:rFonts w:hint="eastAsia"/>
          <w:sz w:val="30"/>
          <w:szCs w:val="30"/>
        </w:rPr>
      </w:pPr>
      <w:r>
        <w:rPr>
          <w:rFonts w:hint="eastAsia"/>
          <w:sz w:val="30"/>
          <w:szCs w:val="30"/>
        </w:rPr>
        <w:t>经审理查明，公诉机关指控被告人黄锐某单位行贿的事实清楚，证据确实、充分，本院予以确认。</w:t>
      </w:r>
    </w:p>
    <w:p w:rsidR="00D32C6D" w:rsidRDefault="00D32C6D">
      <w:pPr>
        <w:spacing w:line="500" w:lineRule="atLeast"/>
        <w:ind w:firstLine="600"/>
        <w:divId w:val="1257323588"/>
        <w:rPr>
          <w:rFonts w:hint="eastAsia"/>
          <w:sz w:val="30"/>
          <w:szCs w:val="30"/>
        </w:rPr>
      </w:pPr>
      <w:r>
        <w:rPr>
          <w:rFonts w:hint="eastAsia"/>
          <w:sz w:val="30"/>
          <w:szCs w:val="30"/>
        </w:rPr>
        <w:t>本院认为，恒瑞公司为谋取不正当利益而行贿，情节严重，被告人黄锐某作为直接负责的主管人员，其行为已构成单位行贿罪。公诉机关所控罪名成立。被告人犯罪后自动投案，如实供述自己的罪行，是自首，依法从轻处罚并适用缓刑，采纳辩护人的相关辩护意见。依照《中华人民共和国刑法》第三百九十三条、第六十七条第一款、第七十二条第一款、第七十三条第二、三款之规定，判决如下：</w:t>
      </w:r>
    </w:p>
    <w:p w:rsidR="00D32C6D" w:rsidRDefault="00D32C6D">
      <w:pPr>
        <w:spacing w:line="500" w:lineRule="atLeast"/>
        <w:ind w:firstLine="600"/>
        <w:divId w:val="218976023"/>
        <w:rPr>
          <w:rFonts w:hint="eastAsia"/>
          <w:sz w:val="30"/>
          <w:szCs w:val="30"/>
        </w:rPr>
      </w:pPr>
      <w:r>
        <w:rPr>
          <w:rFonts w:hint="eastAsia"/>
          <w:sz w:val="30"/>
          <w:szCs w:val="30"/>
        </w:rPr>
        <w:t>被告人黄锐某犯单位行贿罪，判处有期徒刑一年，缓刑二年（缓刑考验期限，从判决确定之日起计算）。</w:t>
      </w:r>
    </w:p>
    <w:p w:rsidR="00D32C6D" w:rsidRDefault="00D32C6D">
      <w:pPr>
        <w:spacing w:line="500" w:lineRule="atLeast"/>
        <w:ind w:firstLine="600"/>
        <w:divId w:val="978146187"/>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rsidR="00D32C6D" w:rsidRDefault="00D32C6D">
      <w:pPr>
        <w:spacing w:line="500" w:lineRule="atLeast"/>
        <w:jc w:val="right"/>
        <w:divId w:val="497580391"/>
        <w:rPr>
          <w:rFonts w:hint="eastAsia"/>
          <w:sz w:val="30"/>
          <w:szCs w:val="30"/>
        </w:rPr>
      </w:pPr>
      <w:r>
        <w:rPr>
          <w:rFonts w:hint="eastAsia"/>
          <w:sz w:val="30"/>
          <w:szCs w:val="30"/>
        </w:rPr>
        <w:t>审判长　　何尔冕</w:t>
      </w:r>
    </w:p>
    <w:p w:rsidR="00D32C6D" w:rsidRDefault="00D32C6D">
      <w:pPr>
        <w:spacing w:line="500" w:lineRule="atLeast"/>
        <w:jc w:val="right"/>
        <w:divId w:val="224293970"/>
        <w:rPr>
          <w:rFonts w:hint="eastAsia"/>
          <w:sz w:val="30"/>
          <w:szCs w:val="30"/>
        </w:rPr>
      </w:pPr>
      <w:r>
        <w:rPr>
          <w:rFonts w:hint="eastAsia"/>
          <w:sz w:val="30"/>
          <w:szCs w:val="30"/>
        </w:rPr>
        <w:t>审判员　　黄丛西</w:t>
      </w:r>
    </w:p>
    <w:p w:rsidR="00D32C6D" w:rsidRDefault="00D32C6D">
      <w:pPr>
        <w:spacing w:line="500" w:lineRule="atLeast"/>
        <w:jc w:val="right"/>
        <w:divId w:val="593440705"/>
        <w:rPr>
          <w:rFonts w:hint="eastAsia"/>
          <w:sz w:val="30"/>
          <w:szCs w:val="30"/>
        </w:rPr>
      </w:pPr>
      <w:r>
        <w:rPr>
          <w:rFonts w:hint="eastAsia"/>
          <w:sz w:val="30"/>
          <w:szCs w:val="30"/>
        </w:rPr>
        <w:t>审判员　　何应开</w:t>
      </w:r>
    </w:p>
    <w:p w:rsidR="00D32C6D" w:rsidRDefault="00D32C6D">
      <w:pPr>
        <w:spacing w:line="500" w:lineRule="atLeast"/>
        <w:jc w:val="right"/>
        <w:divId w:val="622342597"/>
        <w:rPr>
          <w:rFonts w:hint="eastAsia"/>
          <w:sz w:val="30"/>
          <w:szCs w:val="30"/>
        </w:rPr>
      </w:pPr>
      <w:r>
        <w:rPr>
          <w:rFonts w:hint="eastAsia"/>
          <w:sz w:val="30"/>
          <w:szCs w:val="30"/>
        </w:rPr>
        <w:t>二〇一四年十一月十一日</w:t>
      </w:r>
    </w:p>
    <w:p w:rsidR="00D32C6D" w:rsidRDefault="00D32C6D">
      <w:pPr>
        <w:spacing w:line="500" w:lineRule="atLeast"/>
        <w:jc w:val="right"/>
        <w:divId w:val="2043706595"/>
        <w:rPr>
          <w:rFonts w:hint="eastAsia"/>
          <w:sz w:val="30"/>
          <w:szCs w:val="30"/>
        </w:rPr>
      </w:pPr>
      <w:r>
        <w:rPr>
          <w:rFonts w:hint="eastAsia"/>
          <w:sz w:val="30"/>
          <w:szCs w:val="30"/>
        </w:rPr>
        <w:t>书记员　　钟绮文</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32C6D" w:rsidRDefault="00D32C6D" w:rsidP="00D32C6D">
      <w:pPr>
        <w:rPr>
          <w:rFonts w:hint="eastAsia"/>
        </w:rPr>
      </w:pPr>
      <w:r>
        <w:separator/>
      </w:r>
    </w:p>
  </w:endnote>
  <w:endnote w:type="continuationSeparator" w:id="0">
    <w:p w:rsidR="00D32C6D" w:rsidRDefault="00D32C6D" w:rsidP="00D32C6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32C6D" w:rsidRDefault="00D32C6D" w:rsidP="00D32C6D">
      <w:pPr>
        <w:rPr>
          <w:rFonts w:hint="eastAsia"/>
        </w:rPr>
      </w:pPr>
      <w:r>
        <w:separator/>
      </w:r>
    </w:p>
  </w:footnote>
  <w:footnote w:type="continuationSeparator" w:id="0">
    <w:p w:rsidR="00D32C6D" w:rsidRDefault="00D32C6D" w:rsidP="00D32C6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32C6D"/>
    <w:rsid w:val="002A6721"/>
    <w:rsid w:val="00D32C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32C6D"/>
    <w:pPr>
      <w:tabs>
        <w:tab w:val="center" w:pos="4153"/>
        <w:tab w:val="right" w:pos="8306"/>
      </w:tabs>
      <w:snapToGrid w:val="0"/>
      <w:jc w:val="center"/>
    </w:pPr>
    <w:rPr>
      <w:sz w:val="18"/>
      <w:szCs w:val="18"/>
    </w:rPr>
  </w:style>
  <w:style w:type="character" w:customStyle="1" w:styleId="a4">
    <w:name w:val="页眉 字符"/>
    <w:basedOn w:val="a0"/>
    <w:link w:val="a3"/>
    <w:uiPriority w:val="99"/>
    <w:rsid w:val="00D32C6D"/>
    <w:rPr>
      <w:rFonts w:ascii="宋体" w:eastAsia="宋体" w:hAnsi="宋体" w:cs="宋体"/>
      <w:sz w:val="18"/>
      <w:szCs w:val="18"/>
    </w:rPr>
  </w:style>
  <w:style w:type="paragraph" w:styleId="a5">
    <w:name w:val="footer"/>
    <w:basedOn w:val="a"/>
    <w:link w:val="a6"/>
    <w:uiPriority w:val="99"/>
    <w:unhideWhenUsed/>
    <w:rsid w:val="00D32C6D"/>
    <w:pPr>
      <w:tabs>
        <w:tab w:val="center" w:pos="4153"/>
        <w:tab w:val="right" w:pos="8306"/>
      </w:tabs>
      <w:snapToGrid w:val="0"/>
    </w:pPr>
    <w:rPr>
      <w:sz w:val="18"/>
      <w:szCs w:val="18"/>
    </w:rPr>
  </w:style>
  <w:style w:type="character" w:customStyle="1" w:styleId="a6">
    <w:name w:val="页脚 字符"/>
    <w:basedOn w:val="a0"/>
    <w:link w:val="a5"/>
    <w:uiPriority w:val="99"/>
    <w:rsid w:val="00D32C6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50354">
      <w:marLeft w:val="0"/>
      <w:marRight w:val="0"/>
      <w:marTop w:val="10"/>
      <w:marBottom w:val="10"/>
      <w:divBdr>
        <w:top w:val="none" w:sz="0" w:space="0" w:color="auto"/>
        <w:left w:val="none" w:sz="0" w:space="0" w:color="auto"/>
        <w:bottom w:val="none" w:sz="0" w:space="0" w:color="auto"/>
        <w:right w:val="none" w:sz="0" w:space="0" w:color="auto"/>
      </w:divBdr>
    </w:div>
    <w:div w:id="170411915">
      <w:marLeft w:val="0"/>
      <w:marRight w:val="0"/>
      <w:marTop w:val="10"/>
      <w:marBottom w:val="10"/>
      <w:divBdr>
        <w:top w:val="none" w:sz="0" w:space="0" w:color="auto"/>
        <w:left w:val="none" w:sz="0" w:space="0" w:color="auto"/>
        <w:bottom w:val="none" w:sz="0" w:space="0" w:color="auto"/>
        <w:right w:val="none" w:sz="0" w:space="0" w:color="auto"/>
      </w:divBdr>
    </w:div>
    <w:div w:id="218976023">
      <w:marLeft w:val="0"/>
      <w:marRight w:val="0"/>
      <w:marTop w:val="10"/>
      <w:marBottom w:val="10"/>
      <w:divBdr>
        <w:top w:val="none" w:sz="0" w:space="0" w:color="auto"/>
        <w:left w:val="none" w:sz="0" w:space="0" w:color="auto"/>
        <w:bottom w:val="none" w:sz="0" w:space="0" w:color="auto"/>
        <w:right w:val="none" w:sz="0" w:space="0" w:color="auto"/>
      </w:divBdr>
    </w:div>
    <w:div w:id="224293970">
      <w:marLeft w:val="0"/>
      <w:marRight w:val="720"/>
      <w:marTop w:val="10"/>
      <w:marBottom w:val="10"/>
      <w:divBdr>
        <w:top w:val="none" w:sz="0" w:space="0" w:color="auto"/>
        <w:left w:val="none" w:sz="0" w:space="0" w:color="auto"/>
        <w:bottom w:val="none" w:sz="0" w:space="0" w:color="auto"/>
        <w:right w:val="none" w:sz="0" w:space="0" w:color="auto"/>
      </w:divBdr>
    </w:div>
    <w:div w:id="258610478">
      <w:marLeft w:val="0"/>
      <w:marRight w:val="0"/>
      <w:marTop w:val="10"/>
      <w:marBottom w:val="10"/>
      <w:divBdr>
        <w:top w:val="none" w:sz="0" w:space="0" w:color="auto"/>
        <w:left w:val="none" w:sz="0" w:space="0" w:color="auto"/>
        <w:bottom w:val="none" w:sz="0" w:space="0" w:color="auto"/>
        <w:right w:val="none" w:sz="0" w:space="0" w:color="auto"/>
      </w:divBdr>
    </w:div>
    <w:div w:id="294220750">
      <w:marLeft w:val="0"/>
      <w:marRight w:val="0"/>
      <w:marTop w:val="10"/>
      <w:marBottom w:val="10"/>
      <w:divBdr>
        <w:top w:val="none" w:sz="0" w:space="0" w:color="auto"/>
        <w:left w:val="none" w:sz="0" w:space="0" w:color="auto"/>
        <w:bottom w:val="none" w:sz="0" w:space="0" w:color="auto"/>
        <w:right w:val="none" w:sz="0" w:space="0" w:color="auto"/>
      </w:divBdr>
    </w:div>
    <w:div w:id="497580391">
      <w:marLeft w:val="0"/>
      <w:marRight w:val="720"/>
      <w:marTop w:val="10"/>
      <w:marBottom w:val="10"/>
      <w:divBdr>
        <w:top w:val="none" w:sz="0" w:space="0" w:color="auto"/>
        <w:left w:val="none" w:sz="0" w:space="0" w:color="auto"/>
        <w:bottom w:val="none" w:sz="0" w:space="0" w:color="auto"/>
        <w:right w:val="none" w:sz="0" w:space="0" w:color="auto"/>
      </w:divBdr>
    </w:div>
    <w:div w:id="593440705">
      <w:marLeft w:val="0"/>
      <w:marRight w:val="720"/>
      <w:marTop w:val="10"/>
      <w:marBottom w:val="10"/>
      <w:divBdr>
        <w:top w:val="none" w:sz="0" w:space="0" w:color="auto"/>
        <w:left w:val="none" w:sz="0" w:space="0" w:color="auto"/>
        <w:bottom w:val="none" w:sz="0" w:space="0" w:color="auto"/>
        <w:right w:val="none" w:sz="0" w:space="0" w:color="auto"/>
      </w:divBdr>
    </w:div>
    <w:div w:id="622342597">
      <w:marLeft w:val="0"/>
      <w:marRight w:val="720"/>
      <w:marTop w:val="10"/>
      <w:marBottom w:val="10"/>
      <w:divBdr>
        <w:top w:val="none" w:sz="0" w:space="0" w:color="auto"/>
        <w:left w:val="none" w:sz="0" w:space="0" w:color="auto"/>
        <w:bottom w:val="none" w:sz="0" w:space="0" w:color="auto"/>
        <w:right w:val="none" w:sz="0" w:space="0" w:color="auto"/>
      </w:divBdr>
    </w:div>
    <w:div w:id="625237135">
      <w:marLeft w:val="0"/>
      <w:marRight w:val="0"/>
      <w:marTop w:val="10"/>
      <w:marBottom w:val="10"/>
      <w:divBdr>
        <w:top w:val="none" w:sz="0" w:space="0" w:color="auto"/>
        <w:left w:val="none" w:sz="0" w:space="0" w:color="auto"/>
        <w:bottom w:val="none" w:sz="0" w:space="0" w:color="auto"/>
        <w:right w:val="none" w:sz="0" w:space="0" w:color="auto"/>
      </w:divBdr>
    </w:div>
    <w:div w:id="759177955">
      <w:marLeft w:val="0"/>
      <w:marRight w:val="0"/>
      <w:marTop w:val="10"/>
      <w:marBottom w:val="10"/>
      <w:divBdr>
        <w:top w:val="none" w:sz="0" w:space="0" w:color="auto"/>
        <w:left w:val="none" w:sz="0" w:space="0" w:color="auto"/>
        <w:bottom w:val="none" w:sz="0" w:space="0" w:color="auto"/>
        <w:right w:val="none" w:sz="0" w:space="0" w:color="auto"/>
      </w:divBdr>
    </w:div>
    <w:div w:id="759451754">
      <w:marLeft w:val="0"/>
      <w:marRight w:val="0"/>
      <w:marTop w:val="10"/>
      <w:marBottom w:val="10"/>
      <w:divBdr>
        <w:top w:val="none" w:sz="0" w:space="0" w:color="auto"/>
        <w:left w:val="none" w:sz="0" w:space="0" w:color="auto"/>
        <w:bottom w:val="none" w:sz="0" w:space="0" w:color="auto"/>
        <w:right w:val="none" w:sz="0" w:space="0" w:color="auto"/>
      </w:divBdr>
    </w:div>
    <w:div w:id="978146187">
      <w:marLeft w:val="0"/>
      <w:marRight w:val="0"/>
      <w:marTop w:val="10"/>
      <w:marBottom w:val="10"/>
      <w:divBdr>
        <w:top w:val="none" w:sz="0" w:space="0" w:color="auto"/>
        <w:left w:val="none" w:sz="0" w:space="0" w:color="auto"/>
        <w:bottom w:val="none" w:sz="0" w:space="0" w:color="auto"/>
        <w:right w:val="none" w:sz="0" w:space="0" w:color="auto"/>
      </w:divBdr>
    </w:div>
    <w:div w:id="1064913318">
      <w:marLeft w:val="0"/>
      <w:marRight w:val="0"/>
      <w:marTop w:val="10"/>
      <w:marBottom w:val="10"/>
      <w:divBdr>
        <w:top w:val="none" w:sz="0" w:space="0" w:color="auto"/>
        <w:left w:val="none" w:sz="0" w:space="0" w:color="auto"/>
        <w:bottom w:val="none" w:sz="0" w:space="0" w:color="auto"/>
        <w:right w:val="none" w:sz="0" w:space="0" w:color="auto"/>
      </w:divBdr>
    </w:div>
    <w:div w:id="1257323588">
      <w:marLeft w:val="0"/>
      <w:marRight w:val="0"/>
      <w:marTop w:val="10"/>
      <w:marBottom w:val="10"/>
      <w:divBdr>
        <w:top w:val="none" w:sz="0" w:space="0" w:color="auto"/>
        <w:left w:val="none" w:sz="0" w:space="0" w:color="auto"/>
        <w:bottom w:val="none" w:sz="0" w:space="0" w:color="auto"/>
        <w:right w:val="none" w:sz="0" w:space="0" w:color="auto"/>
      </w:divBdr>
    </w:div>
    <w:div w:id="1426806549">
      <w:marLeft w:val="0"/>
      <w:marRight w:val="0"/>
      <w:marTop w:val="10"/>
      <w:marBottom w:val="10"/>
      <w:divBdr>
        <w:top w:val="none" w:sz="0" w:space="0" w:color="auto"/>
        <w:left w:val="none" w:sz="0" w:space="0" w:color="auto"/>
        <w:bottom w:val="none" w:sz="0" w:space="0" w:color="auto"/>
        <w:right w:val="none" w:sz="0" w:space="0" w:color="auto"/>
      </w:divBdr>
    </w:div>
    <w:div w:id="1542084469">
      <w:marLeft w:val="0"/>
      <w:marRight w:val="0"/>
      <w:marTop w:val="10"/>
      <w:marBottom w:val="10"/>
      <w:divBdr>
        <w:top w:val="none" w:sz="0" w:space="0" w:color="auto"/>
        <w:left w:val="none" w:sz="0" w:space="0" w:color="auto"/>
        <w:bottom w:val="none" w:sz="0" w:space="0" w:color="auto"/>
        <w:right w:val="none" w:sz="0" w:space="0" w:color="auto"/>
      </w:divBdr>
    </w:div>
    <w:div w:id="1581139564">
      <w:marLeft w:val="0"/>
      <w:marRight w:val="0"/>
      <w:marTop w:val="10"/>
      <w:marBottom w:val="10"/>
      <w:divBdr>
        <w:top w:val="none" w:sz="0" w:space="0" w:color="auto"/>
        <w:left w:val="none" w:sz="0" w:space="0" w:color="auto"/>
        <w:bottom w:val="none" w:sz="0" w:space="0" w:color="auto"/>
        <w:right w:val="none" w:sz="0" w:space="0" w:color="auto"/>
      </w:divBdr>
    </w:div>
    <w:div w:id="1639802076">
      <w:marLeft w:val="0"/>
      <w:marRight w:val="0"/>
      <w:marTop w:val="10"/>
      <w:marBottom w:val="10"/>
      <w:divBdr>
        <w:top w:val="none" w:sz="0" w:space="0" w:color="auto"/>
        <w:left w:val="none" w:sz="0" w:space="0" w:color="auto"/>
        <w:bottom w:val="none" w:sz="0" w:space="0" w:color="auto"/>
        <w:right w:val="none" w:sz="0" w:space="0" w:color="auto"/>
      </w:divBdr>
    </w:div>
    <w:div w:id="1765684720">
      <w:marLeft w:val="0"/>
      <w:marRight w:val="0"/>
      <w:marTop w:val="10"/>
      <w:marBottom w:val="10"/>
      <w:divBdr>
        <w:top w:val="none" w:sz="0" w:space="0" w:color="auto"/>
        <w:left w:val="none" w:sz="0" w:space="0" w:color="auto"/>
        <w:bottom w:val="none" w:sz="0" w:space="0" w:color="auto"/>
        <w:right w:val="none" w:sz="0" w:space="0" w:color="auto"/>
      </w:divBdr>
    </w:div>
    <w:div w:id="1872375588">
      <w:marLeft w:val="0"/>
      <w:marRight w:val="0"/>
      <w:marTop w:val="10"/>
      <w:marBottom w:val="10"/>
      <w:divBdr>
        <w:top w:val="none" w:sz="0" w:space="0" w:color="auto"/>
        <w:left w:val="none" w:sz="0" w:space="0" w:color="auto"/>
        <w:bottom w:val="none" w:sz="0" w:space="0" w:color="auto"/>
        <w:right w:val="none" w:sz="0" w:space="0" w:color="auto"/>
      </w:divBdr>
    </w:div>
    <w:div w:id="1889142238">
      <w:marLeft w:val="0"/>
      <w:marRight w:val="0"/>
      <w:marTop w:val="10"/>
      <w:marBottom w:val="10"/>
      <w:divBdr>
        <w:top w:val="none" w:sz="0" w:space="0" w:color="auto"/>
        <w:left w:val="none" w:sz="0" w:space="0" w:color="auto"/>
        <w:bottom w:val="none" w:sz="0" w:space="0" w:color="auto"/>
        <w:right w:val="none" w:sz="0" w:space="0" w:color="auto"/>
      </w:divBdr>
    </w:div>
    <w:div w:id="2043706595">
      <w:marLeft w:val="0"/>
      <w:marRight w:val="720"/>
      <w:marTop w:val="10"/>
      <w:marBottom w:val="10"/>
      <w:divBdr>
        <w:top w:val="none" w:sz="0" w:space="0" w:color="auto"/>
        <w:left w:val="none" w:sz="0" w:space="0" w:color="auto"/>
        <w:bottom w:val="none" w:sz="0" w:space="0" w:color="auto"/>
        <w:right w:val="none" w:sz="0" w:space="0" w:color="auto"/>
      </w:divBdr>
    </w:div>
    <w:div w:id="208695151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241</Words>
  <Characters>1379</Characters>
  <Application>Microsoft Office Word</Application>
  <DocSecurity>0</DocSecurity>
  <Lines>11</Lines>
  <Paragraphs>3</Paragraphs>
  <ScaleCrop>false</ScaleCrop>
  <Company/>
  <LinksUpToDate>false</LinksUpToDate>
  <CharactersWithSpaces>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