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C29C2" w:rsidRDefault="001C29C2">
      <w:pPr>
        <w:spacing w:line="500" w:lineRule="atLeast"/>
        <w:jc w:val="center"/>
        <w:divId w:val="2063207730"/>
        <w:rPr>
          <w:rFonts w:ascii="黑体" w:eastAsia="黑体" w:hAnsi="黑体"/>
          <w:sz w:val="36"/>
          <w:szCs w:val="36"/>
        </w:rPr>
      </w:pPr>
      <w:r>
        <w:rPr>
          <w:rFonts w:ascii="黑体" w:eastAsia="黑体" w:hAnsi="黑体" w:hint="eastAsia"/>
          <w:sz w:val="36"/>
          <w:szCs w:val="36"/>
        </w:rPr>
        <w:t>广东省紫金县人民法院</w:t>
      </w:r>
    </w:p>
    <w:p w:rsidR="001C29C2" w:rsidRDefault="001C29C2">
      <w:pPr>
        <w:spacing w:line="500" w:lineRule="atLeast"/>
        <w:jc w:val="center"/>
        <w:divId w:val="11271601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C29C2" w:rsidRDefault="001C29C2">
      <w:pPr>
        <w:spacing w:line="500" w:lineRule="atLeast"/>
        <w:jc w:val="right"/>
        <w:divId w:val="1544907203"/>
        <w:rPr>
          <w:rFonts w:hint="eastAsia"/>
          <w:sz w:val="30"/>
          <w:szCs w:val="30"/>
        </w:rPr>
      </w:pPr>
      <w:r>
        <w:rPr>
          <w:rFonts w:hint="eastAsia"/>
          <w:sz w:val="30"/>
          <w:szCs w:val="30"/>
        </w:rPr>
        <w:t>（</w:t>
      </w:r>
      <w:r>
        <w:rPr>
          <w:rFonts w:hint="eastAsia"/>
          <w:sz w:val="30"/>
          <w:szCs w:val="30"/>
        </w:rPr>
        <w:t>2015</w:t>
      </w:r>
      <w:r>
        <w:rPr>
          <w:rFonts w:hint="eastAsia"/>
          <w:sz w:val="30"/>
          <w:szCs w:val="30"/>
        </w:rPr>
        <w:t>）河紫法刑初字第</w:t>
      </w:r>
      <w:r>
        <w:rPr>
          <w:rFonts w:hint="eastAsia"/>
          <w:sz w:val="30"/>
          <w:szCs w:val="30"/>
        </w:rPr>
        <w:t>205</w:t>
      </w:r>
      <w:r>
        <w:rPr>
          <w:rFonts w:hint="eastAsia"/>
          <w:sz w:val="30"/>
          <w:szCs w:val="30"/>
        </w:rPr>
        <w:t>号</w:t>
      </w:r>
    </w:p>
    <w:p w:rsidR="001C29C2" w:rsidRDefault="001C29C2">
      <w:pPr>
        <w:spacing w:line="500" w:lineRule="atLeast"/>
        <w:ind w:firstLine="600"/>
        <w:divId w:val="200560825"/>
        <w:rPr>
          <w:rFonts w:hint="eastAsia"/>
          <w:sz w:val="30"/>
          <w:szCs w:val="30"/>
        </w:rPr>
      </w:pPr>
      <w:r>
        <w:rPr>
          <w:rFonts w:hint="eastAsia"/>
          <w:sz w:val="30"/>
          <w:szCs w:val="30"/>
        </w:rPr>
        <w:t>公诉机关广东省紫金县人民检察院。</w:t>
      </w:r>
    </w:p>
    <w:p w:rsidR="001C29C2" w:rsidRDefault="001C29C2">
      <w:pPr>
        <w:spacing w:line="500" w:lineRule="atLeast"/>
        <w:ind w:firstLine="600"/>
        <w:divId w:val="1549875364"/>
        <w:rPr>
          <w:rFonts w:hint="eastAsia"/>
          <w:sz w:val="30"/>
          <w:szCs w:val="30"/>
        </w:rPr>
      </w:pPr>
      <w:r>
        <w:rPr>
          <w:rFonts w:hint="eastAsia"/>
          <w:sz w:val="30"/>
          <w:szCs w:val="30"/>
        </w:rPr>
        <w:t>被告人黎某甲，男，</w:t>
      </w:r>
      <w:r>
        <w:rPr>
          <w:rFonts w:hint="eastAsia"/>
          <w:sz w:val="30"/>
          <w:szCs w:val="30"/>
        </w:rPr>
        <w:t>1975</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日出生，广东省紫金县人，汉族，高中文化，中共党员，原系紫金县古竹镇新围村村民委员会主任、河紫高速公路古竹段建设征地拆迁工作领导小组征地工作组成员。因本案于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日被取保候审。</w:t>
      </w:r>
    </w:p>
    <w:p w:rsidR="001C29C2" w:rsidRDefault="001C29C2">
      <w:pPr>
        <w:spacing w:line="500" w:lineRule="atLeast"/>
        <w:ind w:firstLine="600"/>
        <w:divId w:val="2020505032"/>
        <w:rPr>
          <w:rFonts w:hint="eastAsia"/>
          <w:sz w:val="30"/>
          <w:szCs w:val="30"/>
        </w:rPr>
      </w:pPr>
      <w:r>
        <w:rPr>
          <w:rFonts w:hint="eastAsia"/>
          <w:sz w:val="30"/>
          <w:szCs w:val="30"/>
        </w:rPr>
        <w:t>辩护人邓启鑫，紫金县法律援助处法律工作者。</w:t>
      </w:r>
    </w:p>
    <w:p w:rsidR="001C29C2" w:rsidRDefault="001C29C2">
      <w:pPr>
        <w:spacing w:line="500" w:lineRule="atLeast"/>
        <w:ind w:firstLine="600"/>
        <w:divId w:val="779758452"/>
        <w:rPr>
          <w:rFonts w:hint="eastAsia"/>
          <w:sz w:val="30"/>
          <w:szCs w:val="30"/>
        </w:rPr>
      </w:pPr>
      <w:r>
        <w:rPr>
          <w:rFonts w:hint="eastAsia"/>
          <w:sz w:val="30"/>
          <w:szCs w:val="30"/>
        </w:rPr>
        <w:t>广东省紫金县人民检察院以紫检公诉刑诉（</w:t>
      </w:r>
      <w:r>
        <w:rPr>
          <w:rFonts w:hint="eastAsia"/>
          <w:sz w:val="30"/>
          <w:szCs w:val="30"/>
        </w:rPr>
        <w:t>2015</w:t>
      </w:r>
      <w:r>
        <w:rPr>
          <w:rFonts w:hint="eastAsia"/>
          <w:sz w:val="30"/>
          <w:szCs w:val="30"/>
        </w:rPr>
        <w:t>）</w:t>
      </w:r>
      <w:r>
        <w:rPr>
          <w:rFonts w:hint="eastAsia"/>
          <w:sz w:val="30"/>
          <w:szCs w:val="30"/>
        </w:rPr>
        <w:t>176</w:t>
      </w:r>
      <w:r>
        <w:rPr>
          <w:rFonts w:hint="eastAsia"/>
          <w:sz w:val="30"/>
          <w:szCs w:val="30"/>
        </w:rPr>
        <w:t>号起诉书指控被告人黎某甲犯挪用公款罪，于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日向本院提起公诉。本院依法适用普通程序，组成合议庭，于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日公开开庭审理了本案。广东省紫金县人民检察院指派检察员张兆廉出庭支持公诉，被告人黎某甲及其辩护人邓启鑫到庭参加诉讼。现已审理终结。</w:t>
      </w:r>
    </w:p>
    <w:p w:rsidR="001C29C2" w:rsidRDefault="001C29C2">
      <w:pPr>
        <w:spacing w:line="500" w:lineRule="atLeast"/>
        <w:ind w:firstLine="600"/>
        <w:divId w:val="92361764"/>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间，被告人黎某甲利用其担任古竹镇新围村委会主任、河紫高速公路古竹段建设征地拆迁工作领导小组征地工作组成员的职务便利，擅自将河紫高速公路建设领导小组办公室拔至其名下银行账户内的古竹镇新围村集体土地补偿款</w:t>
      </w:r>
      <w:r>
        <w:rPr>
          <w:rFonts w:hint="eastAsia"/>
          <w:sz w:val="30"/>
          <w:szCs w:val="30"/>
        </w:rPr>
        <w:t>1483276</w:t>
      </w:r>
      <w:r>
        <w:rPr>
          <w:rFonts w:hint="eastAsia"/>
          <w:sz w:val="30"/>
          <w:szCs w:val="30"/>
        </w:rPr>
        <w:t>元中的</w:t>
      </w:r>
      <w:r>
        <w:rPr>
          <w:rFonts w:hint="eastAsia"/>
          <w:sz w:val="30"/>
          <w:szCs w:val="30"/>
        </w:rPr>
        <w:t>1004203</w:t>
      </w:r>
      <w:r>
        <w:rPr>
          <w:rFonts w:hint="eastAsia"/>
          <w:sz w:val="30"/>
          <w:szCs w:val="30"/>
        </w:rPr>
        <w:t>元挪用给他人或归自己使用，直至同年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日起才陆续归还给新围村，并于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日向紫金县财政局退缴利息款人民币</w:t>
      </w:r>
      <w:r>
        <w:rPr>
          <w:rFonts w:hint="eastAsia"/>
          <w:sz w:val="30"/>
          <w:szCs w:val="30"/>
        </w:rPr>
        <w:t>3777.26</w:t>
      </w:r>
      <w:r>
        <w:rPr>
          <w:rFonts w:hint="eastAsia"/>
          <w:sz w:val="30"/>
          <w:szCs w:val="30"/>
        </w:rPr>
        <w:t>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日，被告人黎某甲主动到广东省紫金县人民检察院投案，并如实供述其在古竹镇新围村委任职期间挪用公款的犯罪事实。</w:t>
      </w:r>
    </w:p>
    <w:p w:rsidR="001C29C2" w:rsidRDefault="001C29C2">
      <w:pPr>
        <w:spacing w:line="500" w:lineRule="atLeast"/>
        <w:ind w:firstLine="600"/>
        <w:divId w:val="361173796"/>
        <w:rPr>
          <w:rFonts w:hint="eastAsia"/>
          <w:sz w:val="30"/>
          <w:szCs w:val="30"/>
        </w:rPr>
      </w:pPr>
      <w:r>
        <w:rPr>
          <w:rFonts w:hint="eastAsia"/>
          <w:sz w:val="30"/>
          <w:szCs w:val="30"/>
        </w:rPr>
        <w:t>上述事实，被告人黎某甲在开庭审理过程中亦无异议，并有证人黎某乙、赖某甲、陈某甲、袁某某、黎某丙、赖某乙、</w:t>
      </w:r>
      <w:r>
        <w:rPr>
          <w:rFonts w:hint="eastAsia"/>
          <w:sz w:val="30"/>
          <w:szCs w:val="30"/>
        </w:rPr>
        <w:lastRenderedPageBreak/>
        <w:t>邓某某、李某某、陈某乙、黎某丁、赖某丙证言，征地文件资料，账户资金情况说明，土地补偿款情况汇总表，账户明细表，银行进出账凭证，财政结算说明，归还情况说明，通用缴款书，被告人黎某甲身份情况说明，证明，任免文件，立案决定书，归案说明，户籍资料，被告人黎某甲的供述等证据证实，足以认定。</w:t>
      </w:r>
    </w:p>
    <w:p w:rsidR="001C29C2" w:rsidRDefault="001C29C2">
      <w:pPr>
        <w:spacing w:line="500" w:lineRule="atLeast"/>
        <w:ind w:firstLine="600"/>
        <w:divId w:val="1500316255"/>
        <w:rPr>
          <w:rFonts w:hint="eastAsia"/>
          <w:sz w:val="30"/>
          <w:szCs w:val="30"/>
        </w:rPr>
      </w:pPr>
      <w:r>
        <w:rPr>
          <w:rFonts w:hint="eastAsia"/>
          <w:sz w:val="30"/>
          <w:szCs w:val="30"/>
        </w:rPr>
        <w:t>本院认为，被告人黎某甲无视国家法律，利用职务之便挪用公款归自己或他人使用，数额巨大，超过三个月未归还，其行为已构成挪用公款罪，依法应予以刑罚处罚。公诉机关的指控，事实清楚，证据确实、充分，本院予以支持。辩护人提出被告人黎某甲挪用公款供自己和亲戚朋友使用并无营利，主观恶性不大，且系初犯，具有自首等情节，并在案发前已退清全部赃款及相应利息，请求对被告人黎某甲减轻处罚，并予以适用缓刑。经查，辩护人的辩护意见，基本属实，本院予以采纳。鉴于被告人黎某甲主动投案，归案后如实供述犯罪事实，属自首，且在案发前已退清全部赃款，具有一定的悔罪表现，依法予以减轻处罚。结合被告人黎某甲的犯罪情节及认罪态度，对其适用缓刑确实不致再危害社会，依法对其适用缓刑。依照《中华人民共和国刑法》第三百八十四条、第六十七条第一款、第七十二条、第七十三条的规定，并经本院审判委员会讨论决定，判决如下：</w:t>
      </w:r>
    </w:p>
    <w:p w:rsidR="001C29C2" w:rsidRDefault="001C29C2">
      <w:pPr>
        <w:spacing w:line="500" w:lineRule="atLeast"/>
        <w:ind w:firstLine="600"/>
        <w:divId w:val="1990010267"/>
        <w:rPr>
          <w:rFonts w:hint="eastAsia"/>
          <w:sz w:val="30"/>
          <w:szCs w:val="30"/>
        </w:rPr>
      </w:pPr>
      <w:r>
        <w:rPr>
          <w:rFonts w:hint="eastAsia"/>
          <w:sz w:val="30"/>
          <w:szCs w:val="30"/>
        </w:rPr>
        <w:t>被告人黎某甲犯挪用公款罪，判处有期徒刑三年，缓刑四年。</w:t>
      </w:r>
    </w:p>
    <w:p w:rsidR="001C29C2" w:rsidRDefault="001C29C2">
      <w:pPr>
        <w:spacing w:line="500" w:lineRule="atLeast"/>
        <w:ind w:firstLine="600"/>
        <w:divId w:val="1142772352"/>
        <w:rPr>
          <w:rFonts w:hint="eastAsia"/>
          <w:sz w:val="30"/>
          <w:szCs w:val="30"/>
        </w:rPr>
      </w:pPr>
      <w:r>
        <w:rPr>
          <w:rFonts w:hint="eastAsia"/>
          <w:sz w:val="30"/>
          <w:szCs w:val="30"/>
        </w:rPr>
        <w:t>（缓刑考验期限，从本判决确定之日起计算。缓刑考验期间，由其户籍所在地司法行政机关社区矫正工作部门监督矫正。）</w:t>
      </w:r>
    </w:p>
    <w:p w:rsidR="001C29C2" w:rsidRDefault="001C29C2">
      <w:pPr>
        <w:spacing w:line="500" w:lineRule="atLeast"/>
        <w:ind w:firstLine="600"/>
        <w:divId w:val="250430702"/>
        <w:rPr>
          <w:rFonts w:hint="eastAsia"/>
          <w:sz w:val="30"/>
          <w:szCs w:val="30"/>
        </w:rPr>
      </w:pPr>
      <w:r>
        <w:rPr>
          <w:rFonts w:hint="eastAsia"/>
          <w:sz w:val="30"/>
          <w:szCs w:val="30"/>
        </w:rPr>
        <w:t>如不服本判决，可在接到判决书的第二日起十日内，通过本院或者直接向广东省河源市中级人民法院提出上诉。书面上诉的，应当提交上诉状正本一份，副本二份。</w:t>
      </w:r>
    </w:p>
    <w:p w:rsidR="001C29C2" w:rsidRDefault="001C29C2">
      <w:pPr>
        <w:spacing w:line="500" w:lineRule="atLeast"/>
        <w:jc w:val="right"/>
        <w:divId w:val="2026519432"/>
        <w:rPr>
          <w:rFonts w:hint="eastAsia"/>
          <w:sz w:val="30"/>
          <w:szCs w:val="30"/>
        </w:rPr>
      </w:pPr>
      <w:r>
        <w:rPr>
          <w:rFonts w:hint="eastAsia"/>
          <w:sz w:val="30"/>
          <w:szCs w:val="30"/>
        </w:rPr>
        <w:t>审　判　长　　龚月恩</w:t>
      </w:r>
    </w:p>
    <w:p w:rsidR="001C29C2" w:rsidRDefault="001C29C2">
      <w:pPr>
        <w:spacing w:line="500" w:lineRule="atLeast"/>
        <w:jc w:val="right"/>
        <w:divId w:val="1901331378"/>
        <w:rPr>
          <w:rFonts w:hint="eastAsia"/>
          <w:sz w:val="30"/>
          <w:szCs w:val="30"/>
        </w:rPr>
      </w:pPr>
      <w:r>
        <w:rPr>
          <w:rFonts w:hint="eastAsia"/>
          <w:sz w:val="30"/>
          <w:szCs w:val="30"/>
        </w:rPr>
        <w:t>审　判　员　　蓝兰芳</w:t>
      </w:r>
    </w:p>
    <w:p w:rsidR="001C29C2" w:rsidRDefault="001C29C2">
      <w:pPr>
        <w:spacing w:line="500" w:lineRule="atLeast"/>
        <w:jc w:val="right"/>
        <w:divId w:val="1158963978"/>
        <w:rPr>
          <w:rFonts w:hint="eastAsia"/>
          <w:sz w:val="30"/>
          <w:szCs w:val="30"/>
        </w:rPr>
      </w:pPr>
      <w:r>
        <w:rPr>
          <w:rFonts w:hint="eastAsia"/>
          <w:sz w:val="30"/>
          <w:szCs w:val="30"/>
        </w:rPr>
        <w:t>人民陪审员　　张练良</w:t>
      </w:r>
    </w:p>
    <w:p w:rsidR="001C29C2" w:rsidRDefault="001C29C2">
      <w:pPr>
        <w:spacing w:line="500" w:lineRule="atLeast"/>
        <w:jc w:val="right"/>
        <w:divId w:val="498158565"/>
        <w:rPr>
          <w:rFonts w:hint="eastAsia"/>
          <w:sz w:val="30"/>
          <w:szCs w:val="30"/>
        </w:rPr>
      </w:pPr>
      <w:r>
        <w:rPr>
          <w:rFonts w:hint="eastAsia"/>
          <w:sz w:val="30"/>
          <w:szCs w:val="30"/>
        </w:rPr>
        <w:t>二〇一五年十二月三日</w:t>
      </w:r>
    </w:p>
    <w:p w:rsidR="001C29C2" w:rsidRDefault="001C29C2">
      <w:pPr>
        <w:spacing w:line="500" w:lineRule="atLeast"/>
        <w:jc w:val="right"/>
        <w:divId w:val="496462466"/>
        <w:rPr>
          <w:rFonts w:hint="eastAsia"/>
          <w:sz w:val="30"/>
          <w:szCs w:val="30"/>
        </w:rPr>
      </w:pPr>
      <w:r>
        <w:rPr>
          <w:rFonts w:hint="eastAsia"/>
          <w:sz w:val="30"/>
          <w:szCs w:val="30"/>
        </w:rPr>
        <w:t>书　记　员　　罗春霞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C29C2" w:rsidRDefault="001C29C2" w:rsidP="001C29C2">
      <w:pPr>
        <w:rPr>
          <w:rFonts w:hint="eastAsia"/>
        </w:rPr>
      </w:pPr>
      <w:r>
        <w:separator/>
      </w:r>
    </w:p>
  </w:endnote>
  <w:endnote w:type="continuationSeparator" w:id="0">
    <w:p w:rsidR="001C29C2" w:rsidRDefault="001C29C2" w:rsidP="001C29C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C29C2" w:rsidRDefault="001C29C2" w:rsidP="001C29C2">
      <w:pPr>
        <w:rPr>
          <w:rFonts w:hint="eastAsia"/>
        </w:rPr>
      </w:pPr>
      <w:r>
        <w:separator/>
      </w:r>
    </w:p>
  </w:footnote>
  <w:footnote w:type="continuationSeparator" w:id="0">
    <w:p w:rsidR="001C29C2" w:rsidRDefault="001C29C2" w:rsidP="001C29C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C29C2"/>
    <w:rsid w:val="001C29C2"/>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C29C2"/>
    <w:pPr>
      <w:tabs>
        <w:tab w:val="center" w:pos="4153"/>
        <w:tab w:val="right" w:pos="8306"/>
      </w:tabs>
      <w:snapToGrid w:val="0"/>
      <w:jc w:val="center"/>
    </w:pPr>
    <w:rPr>
      <w:sz w:val="18"/>
      <w:szCs w:val="18"/>
    </w:rPr>
  </w:style>
  <w:style w:type="character" w:customStyle="1" w:styleId="a4">
    <w:name w:val="页眉 字符"/>
    <w:basedOn w:val="a0"/>
    <w:link w:val="a3"/>
    <w:uiPriority w:val="99"/>
    <w:rsid w:val="001C29C2"/>
    <w:rPr>
      <w:rFonts w:ascii="宋体" w:eastAsia="宋体" w:hAnsi="宋体" w:cs="宋体"/>
      <w:sz w:val="18"/>
      <w:szCs w:val="18"/>
    </w:rPr>
  </w:style>
  <w:style w:type="paragraph" w:styleId="a5">
    <w:name w:val="footer"/>
    <w:basedOn w:val="a"/>
    <w:link w:val="a6"/>
    <w:uiPriority w:val="99"/>
    <w:unhideWhenUsed/>
    <w:rsid w:val="001C29C2"/>
    <w:pPr>
      <w:tabs>
        <w:tab w:val="center" w:pos="4153"/>
        <w:tab w:val="right" w:pos="8306"/>
      </w:tabs>
      <w:snapToGrid w:val="0"/>
    </w:pPr>
    <w:rPr>
      <w:sz w:val="18"/>
      <w:szCs w:val="18"/>
    </w:rPr>
  </w:style>
  <w:style w:type="character" w:customStyle="1" w:styleId="a6">
    <w:name w:val="页脚 字符"/>
    <w:basedOn w:val="a0"/>
    <w:link w:val="a5"/>
    <w:uiPriority w:val="99"/>
    <w:rsid w:val="001C29C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361764">
      <w:marLeft w:val="0"/>
      <w:marRight w:val="0"/>
      <w:marTop w:val="10"/>
      <w:marBottom w:val="10"/>
      <w:divBdr>
        <w:top w:val="none" w:sz="0" w:space="0" w:color="auto"/>
        <w:left w:val="none" w:sz="0" w:space="0" w:color="auto"/>
        <w:bottom w:val="none" w:sz="0" w:space="0" w:color="auto"/>
        <w:right w:val="none" w:sz="0" w:space="0" w:color="auto"/>
      </w:divBdr>
    </w:div>
    <w:div w:id="200560825">
      <w:marLeft w:val="0"/>
      <w:marRight w:val="0"/>
      <w:marTop w:val="10"/>
      <w:marBottom w:val="10"/>
      <w:divBdr>
        <w:top w:val="none" w:sz="0" w:space="0" w:color="auto"/>
        <w:left w:val="none" w:sz="0" w:space="0" w:color="auto"/>
        <w:bottom w:val="none" w:sz="0" w:space="0" w:color="auto"/>
        <w:right w:val="none" w:sz="0" w:space="0" w:color="auto"/>
      </w:divBdr>
    </w:div>
    <w:div w:id="250430702">
      <w:marLeft w:val="0"/>
      <w:marRight w:val="0"/>
      <w:marTop w:val="10"/>
      <w:marBottom w:val="10"/>
      <w:divBdr>
        <w:top w:val="none" w:sz="0" w:space="0" w:color="auto"/>
        <w:left w:val="none" w:sz="0" w:space="0" w:color="auto"/>
        <w:bottom w:val="none" w:sz="0" w:space="0" w:color="auto"/>
        <w:right w:val="none" w:sz="0" w:space="0" w:color="auto"/>
      </w:divBdr>
    </w:div>
    <w:div w:id="361173796">
      <w:marLeft w:val="0"/>
      <w:marRight w:val="0"/>
      <w:marTop w:val="10"/>
      <w:marBottom w:val="10"/>
      <w:divBdr>
        <w:top w:val="none" w:sz="0" w:space="0" w:color="auto"/>
        <w:left w:val="none" w:sz="0" w:space="0" w:color="auto"/>
        <w:bottom w:val="none" w:sz="0" w:space="0" w:color="auto"/>
        <w:right w:val="none" w:sz="0" w:space="0" w:color="auto"/>
      </w:divBdr>
    </w:div>
    <w:div w:id="496462466">
      <w:marLeft w:val="0"/>
      <w:marRight w:val="720"/>
      <w:marTop w:val="10"/>
      <w:marBottom w:val="10"/>
      <w:divBdr>
        <w:top w:val="none" w:sz="0" w:space="0" w:color="auto"/>
        <w:left w:val="none" w:sz="0" w:space="0" w:color="auto"/>
        <w:bottom w:val="none" w:sz="0" w:space="0" w:color="auto"/>
        <w:right w:val="none" w:sz="0" w:space="0" w:color="auto"/>
      </w:divBdr>
    </w:div>
    <w:div w:id="498158565">
      <w:marLeft w:val="0"/>
      <w:marRight w:val="720"/>
      <w:marTop w:val="10"/>
      <w:marBottom w:val="10"/>
      <w:divBdr>
        <w:top w:val="none" w:sz="0" w:space="0" w:color="auto"/>
        <w:left w:val="none" w:sz="0" w:space="0" w:color="auto"/>
        <w:bottom w:val="none" w:sz="0" w:space="0" w:color="auto"/>
        <w:right w:val="none" w:sz="0" w:space="0" w:color="auto"/>
      </w:divBdr>
    </w:div>
    <w:div w:id="779758452">
      <w:marLeft w:val="0"/>
      <w:marRight w:val="0"/>
      <w:marTop w:val="10"/>
      <w:marBottom w:val="10"/>
      <w:divBdr>
        <w:top w:val="none" w:sz="0" w:space="0" w:color="auto"/>
        <w:left w:val="none" w:sz="0" w:space="0" w:color="auto"/>
        <w:bottom w:val="none" w:sz="0" w:space="0" w:color="auto"/>
        <w:right w:val="none" w:sz="0" w:space="0" w:color="auto"/>
      </w:divBdr>
    </w:div>
    <w:div w:id="1127160146">
      <w:marLeft w:val="0"/>
      <w:marRight w:val="0"/>
      <w:marTop w:val="10"/>
      <w:marBottom w:val="10"/>
      <w:divBdr>
        <w:top w:val="none" w:sz="0" w:space="0" w:color="auto"/>
        <w:left w:val="none" w:sz="0" w:space="0" w:color="auto"/>
        <w:bottom w:val="none" w:sz="0" w:space="0" w:color="auto"/>
        <w:right w:val="none" w:sz="0" w:space="0" w:color="auto"/>
      </w:divBdr>
    </w:div>
    <w:div w:id="1142772352">
      <w:marLeft w:val="0"/>
      <w:marRight w:val="0"/>
      <w:marTop w:val="10"/>
      <w:marBottom w:val="10"/>
      <w:divBdr>
        <w:top w:val="none" w:sz="0" w:space="0" w:color="auto"/>
        <w:left w:val="none" w:sz="0" w:space="0" w:color="auto"/>
        <w:bottom w:val="none" w:sz="0" w:space="0" w:color="auto"/>
        <w:right w:val="none" w:sz="0" w:space="0" w:color="auto"/>
      </w:divBdr>
    </w:div>
    <w:div w:id="1158963978">
      <w:marLeft w:val="0"/>
      <w:marRight w:val="720"/>
      <w:marTop w:val="10"/>
      <w:marBottom w:val="10"/>
      <w:divBdr>
        <w:top w:val="none" w:sz="0" w:space="0" w:color="auto"/>
        <w:left w:val="none" w:sz="0" w:space="0" w:color="auto"/>
        <w:bottom w:val="none" w:sz="0" w:space="0" w:color="auto"/>
        <w:right w:val="none" w:sz="0" w:space="0" w:color="auto"/>
      </w:divBdr>
    </w:div>
    <w:div w:id="1500316255">
      <w:marLeft w:val="0"/>
      <w:marRight w:val="0"/>
      <w:marTop w:val="10"/>
      <w:marBottom w:val="10"/>
      <w:divBdr>
        <w:top w:val="none" w:sz="0" w:space="0" w:color="auto"/>
        <w:left w:val="none" w:sz="0" w:space="0" w:color="auto"/>
        <w:bottom w:val="none" w:sz="0" w:space="0" w:color="auto"/>
        <w:right w:val="none" w:sz="0" w:space="0" w:color="auto"/>
      </w:divBdr>
    </w:div>
    <w:div w:id="1544907203">
      <w:marLeft w:val="0"/>
      <w:marRight w:val="0"/>
      <w:marTop w:val="10"/>
      <w:marBottom w:val="10"/>
      <w:divBdr>
        <w:top w:val="none" w:sz="0" w:space="0" w:color="auto"/>
        <w:left w:val="none" w:sz="0" w:space="0" w:color="auto"/>
        <w:bottom w:val="none" w:sz="0" w:space="0" w:color="auto"/>
        <w:right w:val="none" w:sz="0" w:space="0" w:color="auto"/>
      </w:divBdr>
    </w:div>
    <w:div w:id="1549875364">
      <w:marLeft w:val="0"/>
      <w:marRight w:val="0"/>
      <w:marTop w:val="10"/>
      <w:marBottom w:val="10"/>
      <w:divBdr>
        <w:top w:val="none" w:sz="0" w:space="0" w:color="auto"/>
        <w:left w:val="none" w:sz="0" w:space="0" w:color="auto"/>
        <w:bottom w:val="none" w:sz="0" w:space="0" w:color="auto"/>
        <w:right w:val="none" w:sz="0" w:space="0" w:color="auto"/>
      </w:divBdr>
    </w:div>
    <w:div w:id="1901331378">
      <w:marLeft w:val="0"/>
      <w:marRight w:val="720"/>
      <w:marTop w:val="10"/>
      <w:marBottom w:val="10"/>
      <w:divBdr>
        <w:top w:val="none" w:sz="0" w:space="0" w:color="auto"/>
        <w:left w:val="none" w:sz="0" w:space="0" w:color="auto"/>
        <w:bottom w:val="none" w:sz="0" w:space="0" w:color="auto"/>
        <w:right w:val="none" w:sz="0" w:space="0" w:color="auto"/>
      </w:divBdr>
    </w:div>
    <w:div w:id="1990010267">
      <w:marLeft w:val="0"/>
      <w:marRight w:val="0"/>
      <w:marTop w:val="10"/>
      <w:marBottom w:val="10"/>
      <w:divBdr>
        <w:top w:val="none" w:sz="0" w:space="0" w:color="auto"/>
        <w:left w:val="none" w:sz="0" w:space="0" w:color="auto"/>
        <w:bottom w:val="none" w:sz="0" w:space="0" w:color="auto"/>
        <w:right w:val="none" w:sz="0" w:space="0" w:color="auto"/>
      </w:divBdr>
    </w:div>
    <w:div w:id="2020505032">
      <w:marLeft w:val="0"/>
      <w:marRight w:val="0"/>
      <w:marTop w:val="10"/>
      <w:marBottom w:val="10"/>
      <w:divBdr>
        <w:top w:val="none" w:sz="0" w:space="0" w:color="auto"/>
        <w:left w:val="none" w:sz="0" w:space="0" w:color="auto"/>
        <w:bottom w:val="none" w:sz="0" w:space="0" w:color="auto"/>
        <w:right w:val="none" w:sz="0" w:space="0" w:color="auto"/>
      </w:divBdr>
    </w:div>
    <w:div w:id="2026519432">
      <w:marLeft w:val="0"/>
      <w:marRight w:val="720"/>
      <w:marTop w:val="10"/>
      <w:marBottom w:val="10"/>
      <w:divBdr>
        <w:top w:val="none" w:sz="0" w:space="0" w:color="auto"/>
        <w:left w:val="none" w:sz="0" w:space="0" w:color="auto"/>
        <w:bottom w:val="none" w:sz="0" w:space="0" w:color="auto"/>
        <w:right w:val="none" w:sz="0" w:space="0" w:color="auto"/>
      </w:divBdr>
    </w:div>
    <w:div w:id="206320773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208</Words>
  <Characters>1189</Characters>
  <Application>Microsoft Office Word</Application>
  <DocSecurity>0</DocSecurity>
  <Lines>9</Lines>
  <Paragraphs>2</Paragraphs>
  <ScaleCrop>false</ScaleCrop>
  <Company/>
  <LinksUpToDate>false</LinksUpToDate>
  <CharactersWithSpaces>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