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3663" w:rsidRDefault="000F3663">
      <w:pPr>
        <w:spacing w:line="500" w:lineRule="atLeast"/>
        <w:jc w:val="center"/>
        <w:divId w:val="1132864751"/>
        <w:rPr>
          <w:rFonts w:ascii="黑体" w:eastAsia="黑体" w:hAnsi="黑体"/>
          <w:sz w:val="36"/>
          <w:szCs w:val="36"/>
        </w:rPr>
      </w:pPr>
      <w:r>
        <w:rPr>
          <w:rFonts w:ascii="黑体" w:eastAsia="黑体" w:hAnsi="黑体" w:hint="eastAsia"/>
          <w:sz w:val="36"/>
          <w:szCs w:val="36"/>
        </w:rPr>
        <w:t>广东省中山市第一人民法院</w:t>
      </w:r>
    </w:p>
    <w:p w:rsidR="000F3663" w:rsidRDefault="000F3663">
      <w:pPr>
        <w:spacing w:line="500" w:lineRule="atLeast"/>
        <w:jc w:val="center"/>
        <w:divId w:val="20849864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F3663" w:rsidRDefault="000F3663">
      <w:pPr>
        <w:spacing w:line="500" w:lineRule="atLeast"/>
        <w:jc w:val="right"/>
        <w:divId w:val="190232442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724</w:t>
      </w:r>
      <w:r>
        <w:rPr>
          <w:rFonts w:hint="eastAsia"/>
          <w:sz w:val="30"/>
          <w:szCs w:val="30"/>
        </w:rPr>
        <w:t>号</w:t>
      </w:r>
    </w:p>
    <w:p w:rsidR="000F3663" w:rsidRDefault="000F3663">
      <w:pPr>
        <w:spacing w:line="500" w:lineRule="atLeast"/>
        <w:ind w:firstLine="600"/>
        <w:divId w:val="1699768968"/>
        <w:rPr>
          <w:rFonts w:hint="eastAsia"/>
          <w:sz w:val="30"/>
          <w:szCs w:val="30"/>
        </w:rPr>
      </w:pPr>
      <w:r>
        <w:rPr>
          <w:rFonts w:hint="eastAsia"/>
          <w:sz w:val="30"/>
          <w:szCs w:val="30"/>
        </w:rPr>
        <w:t>公诉机关中山市第一市区人民检察院。</w:t>
      </w:r>
    </w:p>
    <w:p w:rsidR="000F3663" w:rsidRDefault="000F3663">
      <w:pPr>
        <w:spacing w:line="500" w:lineRule="atLeast"/>
        <w:ind w:firstLine="600"/>
        <w:divId w:val="2020884500"/>
        <w:rPr>
          <w:rFonts w:hint="eastAsia"/>
          <w:sz w:val="30"/>
          <w:szCs w:val="30"/>
        </w:rPr>
      </w:pPr>
      <w:r>
        <w:rPr>
          <w:rFonts w:hint="eastAsia"/>
          <w:sz w:val="30"/>
          <w:szCs w:val="30"/>
        </w:rPr>
        <w:t>被告人黎铭杰，男，</w:t>
      </w:r>
      <w:r>
        <w:rPr>
          <w:rFonts w:hint="eastAsia"/>
          <w:sz w:val="30"/>
          <w:szCs w:val="30"/>
        </w:rPr>
        <w:t>1973</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日出生于广东省广州市，汉族，大专文化，原系中山市火炬开发区张家边派出所民警（科员），户籍所在地中山市火炬开发区，现住中山市。因本案于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日被逮捕。现押于中山市看守所。</w:t>
      </w:r>
    </w:p>
    <w:p w:rsidR="000F3663" w:rsidRDefault="000F3663">
      <w:pPr>
        <w:spacing w:line="500" w:lineRule="atLeast"/>
        <w:ind w:firstLine="600"/>
        <w:divId w:val="1378894499"/>
        <w:rPr>
          <w:rFonts w:hint="eastAsia"/>
          <w:sz w:val="30"/>
          <w:szCs w:val="30"/>
        </w:rPr>
      </w:pPr>
      <w:r>
        <w:rPr>
          <w:rFonts w:hint="eastAsia"/>
          <w:sz w:val="30"/>
          <w:szCs w:val="30"/>
        </w:rPr>
        <w:t>辩护人彭磊、梁景鸿，广东保信律师事务所律师。</w:t>
      </w:r>
    </w:p>
    <w:p w:rsidR="000F3663" w:rsidRDefault="000F3663">
      <w:pPr>
        <w:spacing w:line="500" w:lineRule="atLeast"/>
        <w:ind w:firstLine="600"/>
        <w:divId w:val="310134260"/>
        <w:rPr>
          <w:rFonts w:hint="eastAsia"/>
          <w:sz w:val="30"/>
          <w:szCs w:val="30"/>
        </w:rPr>
      </w:pPr>
      <w:r>
        <w:rPr>
          <w:rFonts w:hint="eastAsia"/>
          <w:sz w:val="30"/>
          <w:szCs w:val="30"/>
        </w:rPr>
        <w:t>中山市第一市区人民检察院以中检一区刑诉〔</w:t>
      </w:r>
      <w:r>
        <w:rPr>
          <w:rFonts w:hint="eastAsia"/>
          <w:sz w:val="30"/>
          <w:szCs w:val="30"/>
        </w:rPr>
        <w:t>2019</w:t>
      </w:r>
      <w:r>
        <w:rPr>
          <w:rFonts w:hint="eastAsia"/>
          <w:sz w:val="30"/>
          <w:szCs w:val="30"/>
        </w:rPr>
        <w:t>〕</w:t>
      </w:r>
      <w:r>
        <w:rPr>
          <w:rFonts w:hint="eastAsia"/>
          <w:sz w:val="30"/>
          <w:szCs w:val="30"/>
        </w:rPr>
        <w:t>618</w:t>
      </w:r>
      <w:r>
        <w:rPr>
          <w:rFonts w:hint="eastAsia"/>
          <w:sz w:val="30"/>
          <w:szCs w:val="30"/>
        </w:rPr>
        <w:t>号起诉书指控被告人黎铭杰犯受贿罪，于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日向本院提起公诉。本院依法组成合议庭，公开开庭审理了本案。中山市第一市区人民检察院指派检察员周宇航出庭支持公诉，上述被告人及辩护人均到庭参加诉讼。现已审理终结。</w:t>
      </w:r>
    </w:p>
    <w:p w:rsidR="000F3663" w:rsidRDefault="000F3663">
      <w:pPr>
        <w:spacing w:line="500" w:lineRule="atLeast"/>
        <w:ind w:firstLine="600"/>
        <w:divId w:val="1337995259"/>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2018</w:t>
      </w:r>
      <w:r>
        <w:rPr>
          <w:rFonts w:hint="eastAsia"/>
          <w:sz w:val="30"/>
          <w:szCs w:val="30"/>
        </w:rPr>
        <w:t>年期间，被告人黎铭杰利用其担任中山市公安局火炬开发区分局张家边派出所民警的职务便利，为在其监管片区实施色情违法活动的发廊、足浴等场所的经营者吴某、何某（均另案处理）等人提供庇护，并多次收受何某、吴某、欧某等人给予的现金、苹果手机及接受吴某代为垫支的装修费、修车费等财物折合人民币</w:t>
      </w:r>
      <w:r>
        <w:rPr>
          <w:rFonts w:hint="eastAsia"/>
          <w:sz w:val="30"/>
          <w:szCs w:val="30"/>
        </w:rPr>
        <w:t>73.9</w:t>
      </w:r>
      <w:r>
        <w:rPr>
          <w:rFonts w:hint="eastAsia"/>
          <w:sz w:val="30"/>
          <w:szCs w:val="30"/>
        </w:rPr>
        <w:t>万元。</w:t>
      </w:r>
    </w:p>
    <w:p w:rsidR="000F3663" w:rsidRDefault="000F3663">
      <w:pPr>
        <w:spacing w:line="500" w:lineRule="atLeast"/>
        <w:ind w:firstLine="600"/>
        <w:divId w:val="1078092187"/>
        <w:rPr>
          <w:rFonts w:hint="eastAsia"/>
          <w:sz w:val="30"/>
          <w:szCs w:val="30"/>
        </w:rPr>
      </w:pP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日，被告人黎铭杰主动向中山市纪委派驻市公安局纪检监察组投案，后如实供述了上述犯罪事实。案发后，其家属代其退出赃款人民币</w:t>
      </w:r>
      <w:r>
        <w:rPr>
          <w:rFonts w:hint="eastAsia"/>
          <w:sz w:val="30"/>
          <w:szCs w:val="30"/>
        </w:rPr>
        <w:t>16</w:t>
      </w:r>
      <w:r>
        <w:rPr>
          <w:rFonts w:hint="eastAsia"/>
          <w:sz w:val="30"/>
          <w:szCs w:val="30"/>
        </w:rPr>
        <w:t>万元。</w:t>
      </w:r>
    </w:p>
    <w:p w:rsidR="000F3663" w:rsidRDefault="000F3663">
      <w:pPr>
        <w:spacing w:line="500" w:lineRule="atLeast"/>
        <w:ind w:firstLine="600"/>
        <w:divId w:val="535847755"/>
        <w:rPr>
          <w:rFonts w:hint="eastAsia"/>
          <w:sz w:val="30"/>
          <w:szCs w:val="30"/>
        </w:rPr>
      </w:pPr>
      <w:r>
        <w:rPr>
          <w:rFonts w:hint="eastAsia"/>
          <w:sz w:val="30"/>
          <w:szCs w:val="30"/>
        </w:rPr>
        <w:t>上述事实，被告人黎铭杰在庭审过程中亦无异议，并有经庭审质证、认证的抓获经过及到案说明，银行账户资料及交易明细清单、汇款凭证、车辆维修费用收据、证人冯某、朱某书</w:t>
      </w:r>
      <w:r>
        <w:rPr>
          <w:rFonts w:hint="eastAsia"/>
          <w:sz w:val="30"/>
          <w:szCs w:val="30"/>
        </w:rPr>
        <w:lastRenderedPageBreak/>
        <w:t>写的事情经过及情况说明、中山市公安局火炬开发区分局出具的说明、</w:t>
      </w:r>
      <w:r>
        <w:rPr>
          <w:rFonts w:hint="eastAsia"/>
          <w:sz w:val="30"/>
          <w:szCs w:val="30"/>
        </w:rPr>
        <w:t>110</w:t>
      </w:r>
      <w:r>
        <w:rPr>
          <w:rFonts w:hint="eastAsia"/>
          <w:sz w:val="30"/>
          <w:szCs w:val="30"/>
        </w:rPr>
        <w:t>警情信息表、个体户机读档案登记资料、检举信、任职通知，证人吴某、何某、袁某、张某的证言，被告人黎铭杰的供述及户籍证明等证据予以证实，足以认定。</w:t>
      </w:r>
    </w:p>
    <w:p w:rsidR="000F3663" w:rsidRDefault="000F3663">
      <w:pPr>
        <w:spacing w:line="500" w:lineRule="atLeast"/>
        <w:ind w:firstLine="600"/>
        <w:divId w:val="1601140053"/>
        <w:rPr>
          <w:rFonts w:hint="eastAsia"/>
          <w:sz w:val="30"/>
          <w:szCs w:val="30"/>
        </w:rPr>
      </w:pPr>
      <w:r>
        <w:rPr>
          <w:rFonts w:hint="eastAsia"/>
          <w:sz w:val="30"/>
          <w:szCs w:val="30"/>
        </w:rPr>
        <w:t>辩护人所提被告人黎铭杰具有自首情节和悔罪表现的辩护意见，经查属实，予以采纳。</w:t>
      </w:r>
    </w:p>
    <w:p w:rsidR="000F3663" w:rsidRDefault="000F3663">
      <w:pPr>
        <w:spacing w:line="500" w:lineRule="atLeast"/>
        <w:ind w:firstLine="600"/>
        <w:divId w:val="2067021871"/>
        <w:rPr>
          <w:rFonts w:hint="eastAsia"/>
          <w:sz w:val="30"/>
          <w:szCs w:val="30"/>
        </w:rPr>
      </w:pPr>
      <w:r>
        <w:rPr>
          <w:rFonts w:hint="eastAsia"/>
          <w:sz w:val="30"/>
          <w:szCs w:val="30"/>
        </w:rPr>
        <w:t>辩护人所提被告人黎铭杰是初犯的辩护意见，经查，被告人黎铭杰多次收受他人贿赂，作案时间长，其并非初犯，辩护人就此所提辩护意见与查明事实不符，本院不予采纳。</w:t>
      </w:r>
    </w:p>
    <w:p w:rsidR="000F3663" w:rsidRDefault="000F3663">
      <w:pPr>
        <w:spacing w:line="500" w:lineRule="atLeast"/>
        <w:ind w:firstLine="600"/>
        <w:divId w:val="1896546810"/>
        <w:rPr>
          <w:rFonts w:hint="eastAsia"/>
          <w:sz w:val="30"/>
          <w:szCs w:val="30"/>
        </w:rPr>
      </w:pPr>
      <w:r>
        <w:rPr>
          <w:rFonts w:hint="eastAsia"/>
          <w:sz w:val="30"/>
          <w:szCs w:val="30"/>
        </w:rPr>
        <w:t>本院认为，被告人黎铭杰无视国家法律，身为国家工作人员，为他人谋取利益，并收受他人财物数额巨大，其行为已构成受贿罪，应依法惩处。犯罪分子违法所得的一切财物，应当予以追缴。被告人黎铭杰有自首情节，依法可以从轻处罚。被告人黎铭杰归案后已退出部分赃款，酌情可以从轻处罚。公诉机关指控被告人黎铭杰犯受贿罪的事实清楚，证据确实、充分，罪名成立，本院予以支持。辩护人所提辩护意见，经上述分析，有理部分予以采纳。依照《中华人民共和国刑法》第三百八十五条、第三百八十六条、第三百八十三条第一款第（二）项、第六十七条第一款、第六十四条及《最高人民法院、最高人民检察院关于办理贪污贿赂刑事案件适用法律若干问题的解释》第二条第一款、第十三条第一款第（一）项、第十八条、第十九条第一款之规定，判决如下：</w:t>
      </w:r>
    </w:p>
    <w:p w:rsidR="000F3663" w:rsidRDefault="000F3663">
      <w:pPr>
        <w:spacing w:line="500" w:lineRule="atLeast"/>
        <w:ind w:firstLine="600"/>
        <w:divId w:val="1615283638"/>
        <w:rPr>
          <w:rFonts w:hint="eastAsia"/>
          <w:sz w:val="30"/>
          <w:szCs w:val="30"/>
        </w:rPr>
      </w:pPr>
      <w:r>
        <w:rPr>
          <w:rFonts w:hint="eastAsia"/>
          <w:sz w:val="30"/>
          <w:szCs w:val="30"/>
        </w:rPr>
        <w:t>一、被告人黎铭杰犯受贿罪，判处有期徒刑四年，并处罚金人民币二十五万元。</w:t>
      </w:r>
    </w:p>
    <w:p w:rsidR="000F3663" w:rsidRDefault="000F3663">
      <w:pPr>
        <w:spacing w:line="500" w:lineRule="atLeast"/>
        <w:ind w:firstLine="600"/>
        <w:divId w:val="203295031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日止。罚金在判决生效后十日内向本院一次缴纳。期满不缴纳的，强制缴纳）。</w:t>
      </w:r>
    </w:p>
    <w:p w:rsidR="000F3663" w:rsidRDefault="000F3663">
      <w:pPr>
        <w:spacing w:line="500" w:lineRule="atLeast"/>
        <w:ind w:firstLine="600"/>
        <w:divId w:val="477303046"/>
        <w:rPr>
          <w:rFonts w:hint="eastAsia"/>
          <w:sz w:val="30"/>
          <w:szCs w:val="30"/>
        </w:rPr>
      </w:pPr>
      <w:r>
        <w:rPr>
          <w:rFonts w:hint="eastAsia"/>
          <w:sz w:val="30"/>
          <w:szCs w:val="30"/>
        </w:rPr>
        <w:t>二、被告人黎铭杰退出的赃款人民币</w:t>
      </w:r>
      <w:r>
        <w:rPr>
          <w:rFonts w:hint="eastAsia"/>
          <w:sz w:val="30"/>
          <w:szCs w:val="30"/>
        </w:rPr>
        <w:t>16</w:t>
      </w:r>
      <w:r>
        <w:rPr>
          <w:rFonts w:hint="eastAsia"/>
          <w:sz w:val="30"/>
          <w:szCs w:val="30"/>
        </w:rPr>
        <w:t>万元，予以没收，上缴国库；继续追缴违法所得人民币</w:t>
      </w:r>
      <w:r>
        <w:rPr>
          <w:rFonts w:hint="eastAsia"/>
          <w:sz w:val="30"/>
          <w:szCs w:val="30"/>
        </w:rPr>
        <w:t>57.9</w:t>
      </w:r>
      <w:r>
        <w:rPr>
          <w:rFonts w:hint="eastAsia"/>
          <w:sz w:val="30"/>
          <w:szCs w:val="30"/>
        </w:rPr>
        <w:t>万元。</w:t>
      </w:r>
    </w:p>
    <w:p w:rsidR="000F3663" w:rsidRDefault="000F3663">
      <w:pPr>
        <w:spacing w:line="500" w:lineRule="atLeast"/>
        <w:ind w:firstLine="600"/>
        <w:divId w:val="507330481"/>
        <w:rPr>
          <w:rFonts w:hint="eastAsia"/>
          <w:sz w:val="30"/>
          <w:szCs w:val="30"/>
        </w:rPr>
      </w:pPr>
      <w:r>
        <w:rPr>
          <w:rFonts w:hint="eastAsia"/>
          <w:sz w:val="30"/>
          <w:szCs w:val="30"/>
        </w:rPr>
        <w:t>（被告人黎铭杰退出的违法所得人民币</w:t>
      </w:r>
      <w:r>
        <w:rPr>
          <w:rFonts w:hint="eastAsia"/>
          <w:sz w:val="30"/>
          <w:szCs w:val="30"/>
        </w:rPr>
        <w:t>16</w:t>
      </w:r>
      <w:r>
        <w:rPr>
          <w:rFonts w:hint="eastAsia"/>
          <w:sz w:val="30"/>
          <w:szCs w:val="30"/>
        </w:rPr>
        <w:t>万元，由扣押单位上缴国库。）</w:t>
      </w:r>
    </w:p>
    <w:p w:rsidR="000F3663" w:rsidRDefault="000F3663">
      <w:pPr>
        <w:spacing w:line="500" w:lineRule="atLeast"/>
        <w:ind w:firstLine="600"/>
        <w:divId w:val="328024387"/>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0F3663" w:rsidRDefault="000F3663">
      <w:pPr>
        <w:spacing w:line="500" w:lineRule="atLeast"/>
        <w:jc w:val="right"/>
        <w:divId w:val="1059674446"/>
        <w:rPr>
          <w:rFonts w:hint="eastAsia"/>
          <w:sz w:val="30"/>
          <w:szCs w:val="30"/>
        </w:rPr>
      </w:pPr>
      <w:r>
        <w:rPr>
          <w:rFonts w:hint="eastAsia"/>
          <w:sz w:val="30"/>
          <w:szCs w:val="30"/>
        </w:rPr>
        <w:t>审　判　长　　梁　钢</w:t>
      </w:r>
    </w:p>
    <w:p w:rsidR="000F3663" w:rsidRDefault="000F3663">
      <w:pPr>
        <w:spacing w:line="500" w:lineRule="atLeast"/>
        <w:jc w:val="right"/>
        <w:divId w:val="424499930"/>
        <w:rPr>
          <w:rFonts w:hint="eastAsia"/>
          <w:sz w:val="30"/>
          <w:szCs w:val="30"/>
        </w:rPr>
      </w:pPr>
      <w:r>
        <w:rPr>
          <w:rFonts w:hint="eastAsia"/>
          <w:sz w:val="30"/>
          <w:szCs w:val="30"/>
        </w:rPr>
        <w:t>审　判　员　　宋永红</w:t>
      </w:r>
    </w:p>
    <w:p w:rsidR="000F3663" w:rsidRDefault="000F3663">
      <w:pPr>
        <w:spacing w:line="500" w:lineRule="atLeast"/>
        <w:jc w:val="right"/>
        <w:divId w:val="2076126998"/>
        <w:rPr>
          <w:rFonts w:hint="eastAsia"/>
          <w:sz w:val="30"/>
          <w:szCs w:val="30"/>
        </w:rPr>
      </w:pPr>
      <w:r>
        <w:rPr>
          <w:rFonts w:hint="eastAsia"/>
          <w:sz w:val="30"/>
          <w:szCs w:val="30"/>
        </w:rPr>
        <w:t>人民陪审员　　梁素轼</w:t>
      </w:r>
    </w:p>
    <w:p w:rsidR="000F3663" w:rsidRDefault="000F3663">
      <w:pPr>
        <w:spacing w:line="500" w:lineRule="atLeast"/>
        <w:jc w:val="right"/>
        <w:divId w:val="1878614716"/>
        <w:rPr>
          <w:rFonts w:hint="eastAsia"/>
          <w:sz w:val="30"/>
          <w:szCs w:val="30"/>
        </w:rPr>
      </w:pPr>
      <w:r>
        <w:rPr>
          <w:rFonts w:hint="eastAsia"/>
          <w:sz w:val="30"/>
          <w:szCs w:val="30"/>
        </w:rPr>
        <w:t>二〇一九年六月十二日</w:t>
      </w:r>
    </w:p>
    <w:p w:rsidR="000F3663" w:rsidRDefault="000F3663">
      <w:pPr>
        <w:spacing w:line="500" w:lineRule="atLeast"/>
        <w:jc w:val="right"/>
        <w:divId w:val="1696811901"/>
        <w:rPr>
          <w:rFonts w:hint="eastAsia"/>
          <w:sz w:val="30"/>
          <w:szCs w:val="30"/>
        </w:rPr>
      </w:pPr>
      <w:r>
        <w:rPr>
          <w:rFonts w:hint="eastAsia"/>
          <w:sz w:val="30"/>
          <w:szCs w:val="30"/>
        </w:rPr>
        <w:t>书　记　员　　潘丽君</w:t>
      </w:r>
    </w:p>
    <w:p w:rsidR="000F3663" w:rsidRDefault="000F3663">
      <w:pPr>
        <w:spacing w:line="500" w:lineRule="atLeast"/>
        <w:ind w:firstLine="600"/>
        <w:divId w:val="672487270"/>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3663" w:rsidRDefault="000F3663" w:rsidP="000F3663">
      <w:pPr>
        <w:rPr>
          <w:rFonts w:hint="eastAsia"/>
        </w:rPr>
      </w:pPr>
      <w:r>
        <w:separator/>
      </w:r>
    </w:p>
  </w:endnote>
  <w:endnote w:type="continuationSeparator" w:id="0">
    <w:p w:rsidR="000F3663" w:rsidRDefault="000F3663" w:rsidP="000F36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3663" w:rsidRDefault="000F3663" w:rsidP="000F3663">
      <w:pPr>
        <w:rPr>
          <w:rFonts w:hint="eastAsia"/>
        </w:rPr>
      </w:pPr>
      <w:r>
        <w:separator/>
      </w:r>
    </w:p>
  </w:footnote>
  <w:footnote w:type="continuationSeparator" w:id="0">
    <w:p w:rsidR="000F3663" w:rsidRDefault="000F3663" w:rsidP="000F36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3663"/>
    <w:rsid w:val="000F3663"/>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3663"/>
    <w:pPr>
      <w:tabs>
        <w:tab w:val="center" w:pos="4153"/>
        <w:tab w:val="right" w:pos="8306"/>
      </w:tabs>
      <w:snapToGrid w:val="0"/>
      <w:jc w:val="center"/>
    </w:pPr>
    <w:rPr>
      <w:sz w:val="18"/>
      <w:szCs w:val="18"/>
    </w:rPr>
  </w:style>
  <w:style w:type="character" w:customStyle="1" w:styleId="a4">
    <w:name w:val="页眉 字符"/>
    <w:basedOn w:val="a0"/>
    <w:link w:val="a3"/>
    <w:uiPriority w:val="99"/>
    <w:rsid w:val="000F3663"/>
    <w:rPr>
      <w:rFonts w:ascii="宋体" w:eastAsia="宋体" w:hAnsi="宋体" w:cs="宋体"/>
      <w:sz w:val="18"/>
      <w:szCs w:val="18"/>
    </w:rPr>
  </w:style>
  <w:style w:type="paragraph" w:styleId="a5">
    <w:name w:val="footer"/>
    <w:basedOn w:val="a"/>
    <w:link w:val="a6"/>
    <w:uiPriority w:val="99"/>
    <w:unhideWhenUsed/>
    <w:rsid w:val="000F3663"/>
    <w:pPr>
      <w:tabs>
        <w:tab w:val="center" w:pos="4153"/>
        <w:tab w:val="right" w:pos="8306"/>
      </w:tabs>
      <w:snapToGrid w:val="0"/>
    </w:pPr>
    <w:rPr>
      <w:sz w:val="18"/>
      <w:szCs w:val="18"/>
    </w:rPr>
  </w:style>
  <w:style w:type="character" w:customStyle="1" w:styleId="a6">
    <w:name w:val="页脚 字符"/>
    <w:basedOn w:val="a0"/>
    <w:link w:val="a5"/>
    <w:uiPriority w:val="99"/>
    <w:rsid w:val="000F36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134260">
      <w:marLeft w:val="0"/>
      <w:marRight w:val="0"/>
      <w:marTop w:val="10"/>
      <w:marBottom w:val="10"/>
      <w:divBdr>
        <w:top w:val="none" w:sz="0" w:space="0" w:color="auto"/>
        <w:left w:val="none" w:sz="0" w:space="0" w:color="auto"/>
        <w:bottom w:val="none" w:sz="0" w:space="0" w:color="auto"/>
        <w:right w:val="none" w:sz="0" w:space="0" w:color="auto"/>
      </w:divBdr>
    </w:div>
    <w:div w:id="328024387">
      <w:marLeft w:val="0"/>
      <w:marRight w:val="0"/>
      <w:marTop w:val="10"/>
      <w:marBottom w:val="10"/>
      <w:divBdr>
        <w:top w:val="none" w:sz="0" w:space="0" w:color="auto"/>
        <w:left w:val="none" w:sz="0" w:space="0" w:color="auto"/>
        <w:bottom w:val="none" w:sz="0" w:space="0" w:color="auto"/>
        <w:right w:val="none" w:sz="0" w:space="0" w:color="auto"/>
      </w:divBdr>
    </w:div>
    <w:div w:id="424499930">
      <w:marLeft w:val="0"/>
      <w:marRight w:val="720"/>
      <w:marTop w:val="10"/>
      <w:marBottom w:val="10"/>
      <w:divBdr>
        <w:top w:val="none" w:sz="0" w:space="0" w:color="auto"/>
        <w:left w:val="none" w:sz="0" w:space="0" w:color="auto"/>
        <w:bottom w:val="none" w:sz="0" w:space="0" w:color="auto"/>
        <w:right w:val="none" w:sz="0" w:space="0" w:color="auto"/>
      </w:divBdr>
    </w:div>
    <w:div w:id="477303046">
      <w:marLeft w:val="0"/>
      <w:marRight w:val="0"/>
      <w:marTop w:val="10"/>
      <w:marBottom w:val="10"/>
      <w:divBdr>
        <w:top w:val="none" w:sz="0" w:space="0" w:color="auto"/>
        <w:left w:val="none" w:sz="0" w:space="0" w:color="auto"/>
        <w:bottom w:val="none" w:sz="0" w:space="0" w:color="auto"/>
        <w:right w:val="none" w:sz="0" w:space="0" w:color="auto"/>
      </w:divBdr>
    </w:div>
    <w:div w:id="507330481">
      <w:marLeft w:val="0"/>
      <w:marRight w:val="0"/>
      <w:marTop w:val="10"/>
      <w:marBottom w:val="10"/>
      <w:divBdr>
        <w:top w:val="none" w:sz="0" w:space="0" w:color="auto"/>
        <w:left w:val="none" w:sz="0" w:space="0" w:color="auto"/>
        <w:bottom w:val="none" w:sz="0" w:space="0" w:color="auto"/>
        <w:right w:val="none" w:sz="0" w:space="0" w:color="auto"/>
      </w:divBdr>
    </w:div>
    <w:div w:id="535847755">
      <w:marLeft w:val="0"/>
      <w:marRight w:val="0"/>
      <w:marTop w:val="10"/>
      <w:marBottom w:val="10"/>
      <w:divBdr>
        <w:top w:val="none" w:sz="0" w:space="0" w:color="auto"/>
        <w:left w:val="none" w:sz="0" w:space="0" w:color="auto"/>
        <w:bottom w:val="none" w:sz="0" w:space="0" w:color="auto"/>
        <w:right w:val="none" w:sz="0" w:space="0" w:color="auto"/>
      </w:divBdr>
    </w:div>
    <w:div w:id="672487270">
      <w:marLeft w:val="0"/>
      <w:marRight w:val="0"/>
      <w:marTop w:val="10"/>
      <w:marBottom w:val="10"/>
      <w:divBdr>
        <w:top w:val="none" w:sz="0" w:space="0" w:color="auto"/>
        <w:left w:val="none" w:sz="0" w:space="0" w:color="auto"/>
        <w:bottom w:val="none" w:sz="0" w:space="0" w:color="auto"/>
        <w:right w:val="none" w:sz="0" w:space="0" w:color="auto"/>
      </w:divBdr>
    </w:div>
    <w:div w:id="1059674446">
      <w:marLeft w:val="0"/>
      <w:marRight w:val="720"/>
      <w:marTop w:val="10"/>
      <w:marBottom w:val="10"/>
      <w:divBdr>
        <w:top w:val="none" w:sz="0" w:space="0" w:color="auto"/>
        <w:left w:val="none" w:sz="0" w:space="0" w:color="auto"/>
        <w:bottom w:val="none" w:sz="0" w:space="0" w:color="auto"/>
        <w:right w:val="none" w:sz="0" w:space="0" w:color="auto"/>
      </w:divBdr>
    </w:div>
    <w:div w:id="1078092187">
      <w:marLeft w:val="0"/>
      <w:marRight w:val="0"/>
      <w:marTop w:val="10"/>
      <w:marBottom w:val="10"/>
      <w:divBdr>
        <w:top w:val="none" w:sz="0" w:space="0" w:color="auto"/>
        <w:left w:val="none" w:sz="0" w:space="0" w:color="auto"/>
        <w:bottom w:val="none" w:sz="0" w:space="0" w:color="auto"/>
        <w:right w:val="none" w:sz="0" w:space="0" w:color="auto"/>
      </w:divBdr>
    </w:div>
    <w:div w:id="1132864751">
      <w:marLeft w:val="0"/>
      <w:marRight w:val="0"/>
      <w:marTop w:val="10"/>
      <w:marBottom w:val="10"/>
      <w:divBdr>
        <w:top w:val="none" w:sz="0" w:space="0" w:color="auto"/>
        <w:left w:val="none" w:sz="0" w:space="0" w:color="auto"/>
        <w:bottom w:val="none" w:sz="0" w:space="0" w:color="auto"/>
        <w:right w:val="none" w:sz="0" w:space="0" w:color="auto"/>
      </w:divBdr>
    </w:div>
    <w:div w:id="1337995259">
      <w:marLeft w:val="0"/>
      <w:marRight w:val="0"/>
      <w:marTop w:val="10"/>
      <w:marBottom w:val="10"/>
      <w:divBdr>
        <w:top w:val="none" w:sz="0" w:space="0" w:color="auto"/>
        <w:left w:val="none" w:sz="0" w:space="0" w:color="auto"/>
        <w:bottom w:val="none" w:sz="0" w:space="0" w:color="auto"/>
        <w:right w:val="none" w:sz="0" w:space="0" w:color="auto"/>
      </w:divBdr>
    </w:div>
    <w:div w:id="1378894499">
      <w:marLeft w:val="0"/>
      <w:marRight w:val="0"/>
      <w:marTop w:val="10"/>
      <w:marBottom w:val="10"/>
      <w:divBdr>
        <w:top w:val="none" w:sz="0" w:space="0" w:color="auto"/>
        <w:left w:val="none" w:sz="0" w:space="0" w:color="auto"/>
        <w:bottom w:val="none" w:sz="0" w:space="0" w:color="auto"/>
        <w:right w:val="none" w:sz="0" w:space="0" w:color="auto"/>
      </w:divBdr>
    </w:div>
    <w:div w:id="1601140053">
      <w:marLeft w:val="0"/>
      <w:marRight w:val="0"/>
      <w:marTop w:val="10"/>
      <w:marBottom w:val="10"/>
      <w:divBdr>
        <w:top w:val="none" w:sz="0" w:space="0" w:color="auto"/>
        <w:left w:val="none" w:sz="0" w:space="0" w:color="auto"/>
        <w:bottom w:val="none" w:sz="0" w:space="0" w:color="auto"/>
        <w:right w:val="none" w:sz="0" w:space="0" w:color="auto"/>
      </w:divBdr>
    </w:div>
    <w:div w:id="1615283638">
      <w:marLeft w:val="0"/>
      <w:marRight w:val="0"/>
      <w:marTop w:val="10"/>
      <w:marBottom w:val="10"/>
      <w:divBdr>
        <w:top w:val="none" w:sz="0" w:space="0" w:color="auto"/>
        <w:left w:val="none" w:sz="0" w:space="0" w:color="auto"/>
        <w:bottom w:val="none" w:sz="0" w:space="0" w:color="auto"/>
        <w:right w:val="none" w:sz="0" w:space="0" w:color="auto"/>
      </w:divBdr>
    </w:div>
    <w:div w:id="1696811901">
      <w:marLeft w:val="0"/>
      <w:marRight w:val="720"/>
      <w:marTop w:val="10"/>
      <w:marBottom w:val="10"/>
      <w:divBdr>
        <w:top w:val="none" w:sz="0" w:space="0" w:color="auto"/>
        <w:left w:val="none" w:sz="0" w:space="0" w:color="auto"/>
        <w:bottom w:val="none" w:sz="0" w:space="0" w:color="auto"/>
        <w:right w:val="none" w:sz="0" w:space="0" w:color="auto"/>
      </w:divBdr>
    </w:div>
    <w:div w:id="1699768968">
      <w:marLeft w:val="0"/>
      <w:marRight w:val="0"/>
      <w:marTop w:val="10"/>
      <w:marBottom w:val="10"/>
      <w:divBdr>
        <w:top w:val="none" w:sz="0" w:space="0" w:color="auto"/>
        <w:left w:val="none" w:sz="0" w:space="0" w:color="auto"/>
        <w:bottom w:val="none" w:sz="0" w:space="0" w:color="auto"/>
        <w:right w:val="none" w:sz="0" w:space="0" w:color="auto"/>
      </w:divBdr>
    </w:div>
    <w:div w:id="1878614716">
      <w:marLeft w:val="0"/>
      <w:marRight w:val="720"/>
      <w:marTop w:val="10"/>
      <w:marBottom w:val="10"/>
      <w:divBdr>
        <w:top w:val="none" w:sz="0" w:space="0" w:color="auto"/>
        <w:left w:val="none" w:sz="0" w:space="0" w:color="auto"/>
        <w:bottom w:val="none" w:sz="0" w:space="0" w:color="auto"/>
        <w:right w:val="none" w:sz="0" w:space="0" w:color="auto"/>
      </w:divBdr>
    </w:div>
    <w:div w:id="1896546810">
      <w:marLeft w:val="0"/>
      <w:marRight w:val="0"/>
      <w:marTop w:val="10"/>
      <w:marBottom w:val="10"/>
      <w:divBdr>
        <w:top w:val="none" w:sz="0" w:space="0" w:color="auto"/>
        <w:left w:val="none" w:sz="0" w:space="0" w:color="auto"/>
        <w:bottom w:val="none" w:sz="0" w:space="0" w:color="auto"/>
        <w:right w:val="none" w:sz="0" w:space="0" w:color="auto"/>
      </w:divBdr>
    </w:div>
    <w:div w:id="1902324428">
      <w:marLeft w:val="0"/>
      <w:marRight w:val="0"/>
      <w:marTop w:val="10"/>
      <w:marBottom w:val="10"/>
      <w:divBdr>
        <w:top w:val="none" w:sz="0" w:space="0" w:color="auto"/>
        <w:left w:val="none" w:sz="0" w:space="0" w:color="auto"/>
        <w:bottom w:val="none" w:sz="0" w:space="0" w:color="auto"/>
        <w:right w:val="none" w:sz="0" w:space="0" w:color="auto"/>
      </w:divBdr>
    </w:div>
    <w:div w:id="2020884500">
      <w:marLeft w:val="0"/>
      <w:marRight w:val="0"/>
      <w:marTop w:val="10"/>
      <w:marBottom w:val="10"/>
      <w:divBdr>
        <w:top w:val="none" w:sz="0" w:space="0" w:color="auto"/>
        <w:left w:val="none" w:sz="0" w:space="0" w:color="auto"/>
        <w:bottom w:val="none" w:sz="0" w:space="0" w:color="auto"/>
        <w:right w:val="none" w:sz="0" w:space="0" w:color="auto"/>
      </w:divBdr>
    </w:div>
    <w:div w:id="2032950316">
      <w:marLeft w:val="0"/>
      <w:marRight w:val="0"/>
      <w:marTop w:val="10"/>
      <w:marBottom w:val="10"/>
      <w:divBdr>
        <w:top w:val="none" w:sz="0" w:space="0" w:color="auto"/>
        <w:left w:val="none" w:sz="0" w:space="0" w:color="auto"/>
        <w:bottom w:val="none" w:sz="0" w:space="0" w:color="auto"/>
        <w:right w:val="none" w:sz="0" w:space="0" w:color="auto"/>
      </w:divBdr>
    </w:div>
    <w:div w:id="2067021871">
      <w:marLeft w:val="0"/>
      <w:marRight w:val="0"/>
      <w:marTop w:val="10"/>
      <w:marBottom w:val="10"/>
      <w:divBdr>
        <w:top w:val="none" w:sz="0" w:space="0" w:color="auto"/>
        <w:left w:val="none" w:sz="0" w:space="0" w:color="auto"/>
        <w:bottom w:val="none" w:sz="0" w:space="0" w:color="auto"/>
        <w:right w:val="none" w:sz="0" w:space="0" w:color="auto"/>
      </w:divBdr>
    </w:div>
    <w:div w:id="2076126998">
      <w:marLeft w:val="0"/>
      <w:marRight w:val="720"/>
      <w:marTop w:val="10"/>
      <w:marBottom w:val="10"/>
      <w:divBdr>
        <w:top w:val="none" w:sz="0" w:space="0" w:color="auto"/>
        <w:left w:val="none" w:sz="0" w:space="0" w:color="auto"/>
        <w:bottom w:val="none" w:sz="0" w:space="0" w:color="auto"/>
        <w:right w:val="none" w:sz="0" w:space="0" w:color="auto"/>
      </w:divBdr>
    </w:div>
    <w:div w:id="20849864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