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A2213" w:rsidRDefault="009A2213">
      <w:pPr>
        <w:spacing w:line="500" w:lineRule="atLeast"/>
        <w:jc w:val="center"/>
        <w:divId w:val="2030325326"/>
        <w:rPr>
          <w:rFonts w:ascii="黑体" w:eastAsia="黑体" w:hAnsi="黑体"/>
          <w:sz w:val="36"/>
          <w:szCs w:val="36"/>
        </w:rPr>
      </w:pPr>
      <w:r>
        <w:rPr>
          <w:rFonts w:ascii="黑体" w:eastAsia="黑体" w:hAnsi="黑体" w:hint="eastAsia"/>
          <w:sz w:val="36"/>
          <w:szCs w:val="36"/>
        </w:rPr>
        <w:t>广东省东莞市第二人民法院</w:t>
      </w:r>
    </w:p>
    <w:p w:rsidR="009A2213" w:rsidRDefault="009A2213">
      <w:pPr>
        <w:spacing w:line="500" w:lineRule="atLeast"/>
        <w:jc w:val="center"/>
        <w:divId w:val="5670355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A2213" w:rsidRDefault="009A2213">
      <w:pPr>
        <w:spacing w:line="500" w:lineRule="atLeast"/>
        <w:jc w:val="right"/>
        <w:divId w:val="489904810"/>
        <w:rPr>
          <w:rFonts w:hint="eastAsia"/>
          <w:sz w:val="30"/>
          <w:szCs w:val="30"/>
        </w:rPr>
      </w:pPr>
      <w:r>
        <w:rPr>
          <w:rFonts w:hint="eastAsia"/>
          <w:sz w:val="30"/>
          <w:szCs w:val="30"/>
        </w:rPr>
        <w:t>（</w:t>
      </w:r>
      <w:r>
        <w:rPr>
          <w:rFonts w:hint="eastAsia"/>
          <w:sz w:val="30"/>
          <w:szCs w:val="30"/>
        </w:rPr>
        <w:t>2014</w:t>
      </w:r>
      <w:r>
        <w:rPr>
          <w:rFonts w:hint="eastAsia"/>
          <w:sz w:val="30"/>
          <w:szCs w:val="30"/>
        </w:rPr>
        <w:t>）东二法刑初字第</w:t>
      </w:r>
      <w:r>
        <w:rPr>
          <w:rFonts w:hint="eastAsia"/>
          <w:sz w:val="30"/>
          <w:szCs w:val="30"/>
        </w:rPr>
        <w:t>1481</w:t>
      </w:r>
      <w:r>
        <w:rPr>
          <w:rFonts w:hint="eastAsia"/>
          <w:sz w:val="30"/>
          <w:szCs w:val="30"/>
        </w:rPr>
        <w:t>号</w:t>
      </w:r>
    </w:p>
    <w:p w:rsidR="009A2213" w:rsidRDefault="009A2213">
      <w:pPr>
        <w:spacing w:line="500" w:lineRule="atLeast"/>
        <w:ind w:firstLine="600"/>
        <w:divId w:val="1438481674"/>
        <w:rPr>
          <w:rFonts w:hint="eastAsia"/>
          <w:sz w:val="30"/>
          <w:szCs w:val="30"/>
        </w:rPr>
      </w:pPr>
      <w:r>
        <w:rPr>
          <w:rFonts w:hint="eastAsia"/>
          <w:sz w:val="30"/>
          <w:szCs w:val="30"/>
        </w:rPr>
        <w:t>公诉机关广东省东莞市第二市区人民检察院。</w:t>
      </w:r>
    </w:p>
    <w:p w:rsidR="009A2213" w:rsidRDefault="009A2213">
      <w:pPr>
        <w:spacing w:line="500" w:lineRule="atLeast"/>
        <w:ind w:firstLine="600"/>
        <w:divId w:val="399255046"/>
        <w:rPr>
          <w:rFonts w:hint="eastAsia"/>
          <w:sz w:val="30"/>
          <w:szCs w:val="30"/>
        </w:rPr>
      </w:pPr>
      <w:r>
        <w:rPr>
          <w:rFonts w:hint="eastAsia"/>
          <w:sz w:val="30"/>
          <w:szCs w:val="30"/>
        </w:rPr>
        <w:t>被告人龙绍辉，男，</w:t>
      </w:r>
      <w:r>
        <w:rPr>
          <w:rFonts w:hint="eastAsia"/>
          <w:sz w:val="30"/>
          <w:szCs w:val="30"/>
        </w:rPr>
        <w:t>1971</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日出生，汉族，广东省东莞市人，大专文化，原系东莞市石碣镇工贸实业公司总经理，住东莞市。因涉嫌犯贪污罪于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日被逮捕。现押于东莞市第二看守所。</w:t>
      </w:r>
    </w:p>
    <w:p w:rsidR="009A2213" w:rsidRDefault="009A2213">
      <w:pPr>
        <w:spacing w:line="500" w:lineRule="atLeast"/>
        <w:ind w:firstLine="600"/>
        <w:divId w:val="1084495445"/>
        <w:rPr>
          <w:rFonts w:hint="eastAsia"/>
          <w:sz w:val="30"/>
          <w:szCs w:val="30"/>
        </w:rPr>
      </w:pPr>
      <w:r>
        <w:rPr>
          <w:rFonts w:hint="eastAsia"/>
          <w:sz w:val="30"/>
          <w:szCs w:val="30"/>
        </w:rPr>
        <w:t>辩护人麦荣福，广东盈隆律师事务所律师。</w:t>
      </w:r>
    </w:p>
    <w:p w:rsidR="009A2213" w:rsidRDefault="009A2213">
      <w:pPr>
        <w:spacing w:line="500" w:lineRule="atLeast"/>
        <w:ind w:firstLine="600"/>
        <w:divId w:val="1469977648"/>
        <w:rPr>
          <w:rFonts w:hint="eastAsia"/>
          <w:sz w:val="30"/>
          <w:szCs w:val="30"/>
        </w:rPr>
      </w:pPr>
      <w:r>
        <w:rPr>
          <w:rFonts w:hint="eastAsia"/>
          <w:sz w:val="30"/>
          <w:szCs w:val="30"/>
        </w:rPr>
        <w:t>辩护人苑景会，北京市隆安（深圳）律师事务所律师。</w:t>
      </w:r>
    </w:p>
    <w:p w:rsidR="009A2213" w:rsidRDefault="009A2213">
      <w:pPr>
        <w:spacing w:line="500" w:lineRule="atLeast"/>
        <w:ind w:firstLine="600"/>
        <w:divId w:val="1886792749"/>
        <w:rPr>
          <w:rFonts w:hint="eastAsia"/>
          <w:sz w:val="30"/>
          <w:szCs w:val="30"/>
        </w:rPr>
      </w:pPr>
      <w:r>
        <w:rPr>
          <w:rFonts w:hint="eastAsia"/>
          <w:sz w:val="30"/>
          <w:szCs w:val="30"/>
        </w:rPr>
        <w:t>东莞市第二市区人民检察院以东二区检诉刑诉（</w:t>
      </w:r>
      <w:r>
        <w:rPr>
          <w:rFonts w:hint="eastAsia"/>
          <w:sz w:val="30"/>
          <w:szCs w:val="30"/>
        </w:rPr>
        <w:t>2014</w:t>
      </w:r>
      <w:r>
        <w:rPr>
          <w:rFonts w:hint="eastAsia"/>
          <w:sz w:val="30"/>
          <w:szCs w:val="30"/>
        </w:rPr>
        <w:t>）</w:t>
      </w:r>
      <w:r>
        <w:rPr>
          <w:rFonts w:hint="eastAsia"/>
          <w:sz w:val="30"/>
          <w:szCs w:val="30"/>
        </w:rPr>
        <w:t>1476</w:t>
      </w:r>
      <w:r>
        <w:rPr>
          <w:rFonts w:hint="eastAsia"/>
          <w:sz w:val="30"/>
          <w:szCs w:val="30"/>
        </w:rPr>
        <w:t>号起诉书指控被告人龙绍辉犯贪污罪，于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日向本院提起公诉。本院受理后，依法组成合议庭，于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日公开开庭审理了本案。东莞市第二市区人民检察院指派检察员刘德明出庭支持公诉，被告人龙绍辉到庭及其辩护人麦荣福参加诉讼。审理期间，公诉机关因需要补充侦查，分别于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日建议本院延期审理，后于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w:t>
      </w:r>
      <w:r>
        <w:rPr>
          <w:rFonts w:hint="eastAsia"/>
          <w:sz w:val="30"/>
          <w:szCs w:val="30"/>
        </w:rPr>
        <w:t>5</w:t>
      </w:r>
      <w:r>
        <w:rPr>
          <w:rFonts w:hint="eastAsia"/>
          <w:sz w:val="30"/>
          <w:szCs w:val="30"/>
        </w:rPr>
        <w:t>月</w:t>
      </w:r>
      <w:r>
        <w:rPr>
          <w:rFonts w:hint="eastAsia"/>
          <w:sz w:val="30"/>
          <w:szCs w:val="30"/>
        </w:rPr>
        <w:t>11</w:t>
      </w:r>
      <w:r>
        <w:rPr>
          <w:rFonts w:hint="eastAsia"/>
          <w:sz w:val="30"/>
          <w:szCs w:val="30"/>
        </w:rPr>
        <w:t>日建议本院恢复审理。现已审理终结。</w:t>
      </w:r>
    </w:p>
    <w:p w:rsidR="009A2213" w:rsidRDefault="009A2213">
      <w:pPr>
        <w:spacing w:line="500" w:lineRule="atLeast"/>
        <w:ind w:firstLine="600"/>
        <w:divId w:val="1376275477"/>
        <w:rPr>
          <w:rFonts w:hint="eastAsia"/>
          <w:sz w:val="30"/>
          <w:szCs w:val="30"/>
        </w:rPr>
      </w:pPr>
      <w:r>
        <w:rPr>
          <w:rFonts w:hint="eastAsia"/>
          <w:sz w:val="30"/>
          <w:szCs w:val="30"/>
        </w:rPr>
        <w:t>公诉机关指控称，东莞市石碣镇工贸实业公司（以下简称石碣工贸公司）与东莞市石碣电子技术开发公司（以下简称石碣电子公司）均是由东莞市石碣镇经济发展总公司投资组建的镇属集体企业，该二间公司的总经理均由中共石碣镇委员会任命。</w:t>
      </w:r>
    </w:p>
    <w:p w:rsidR="009A2213" w:rsidRDefault="009A2213">
      <w:pPr>
        <w:spacing w:line="500" w:lineRule="atLeast"/>
        <w:ind w:firstLine="600"/>
        <w:divId w:val="1442653086"/>
        <w:rPr>
          <w:rFonts w:hint="eastAsia"/>
          <w:sz w:val="30"/>
          <w:szCs w:val="30"/>
        </w:rPr>
      </w:pPr>
      <w:r>
        <w:rPr>
          <w:rFonts w:hint="eastAsia"/>
          <w:sz w:val="30"/>
          <w:szCs w:val="30"/>
        </w:rPr>
        <w:t>被告人龙绍辉于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月起担任石碣电子公司总经理兼法人代表，负责该公司全面工作。期间，石碣电子公司与“三</w:t>
      </w:r>
      <w:r>
        <w:rPr>
          <w:rFonts w:hint="eastAsia"/>
          <w:sz w:val="30"/>
          <w:szCs w:val="30"/>
        </w:rPr>
        <w:lastRenderedPageBreak/>
        <w:t>来一补”企业东莞石碣砂永注塑件厂（以下简称砂永厂）签订协议，由石碣电子公司为砂永厂提供服务，砂永厂按月支付约定的管理费。除此之外，龙绍辉还决定自</w:t>
      </w:r>
      <w:r>
        <w:rPr>
          <w:rFonts w:hint="eastAsia"/>
          <w:sz w:val="30"/>
          <w:szCs w:val="30"/>
        </w:rPr>
        <w:t>2007</w:t>
      </w:r>
      <w:r>
        <w:rPr>
          <w:rFonts w:hint="eastAsia"/>
          <w:sz w:val="30"/>
          <w:szCs w:val="30"/>
        </w:rPr>
        <w:t>年起每年向砂永厂另外以“特别服务费”的名义收取</w:t>
      </w:r>
      <w:r>
        <w:rPr>
          <w:rFonts w:hint="eastAsia"/>
          <w:sz w:val="30"/>
          <w:szCs w:val="30"/>
        </w:rPr>
        <w:t>20</w:t>
      </w:r>
      <w:r>
        <w:rPr>
          <w:rFonts w:hint="eastAsia"/>
          <w:sz w:val="30"/>
          <w:szCs w:val="30"/>
        </w:rPr>
        <w:t>万元港币的管理费，并吩咐该公司副总经理夏某某代表公司与砂永厂签订了一份《备忘录》。从</w:t>
      </w:r>
      <w:r>
        <w:rPr>
          <w:rFonts w:hint="eastAsia"/>
          <w:sz w:val="30"/>
          <w:szCs w:val="30"/>
        </w:rPr>
        <w:t>2007</w:t>
      </w:r>
      <w:r>
        <w:rPr>
          <w:rFonts w:hint="eastAsia"/>
          <w:sz w:val="30"/>
          <w:szCs w:val="30"/>
        </w:rPr>
        <w:t>年起，龙绍辉交代石碣电子公司原出纳钱某某负责向砂永厂每年收取</w:t>
      </w:r>
      <w:r>
        <w:rPr>
          <w:rFonts w:hint="eastAsia"/>
          <w:sz w:val="30"/>
          <w:szCs w:val="30"/>
        </w:rPr>
        <w:t>20</w:t>
      </w:r>
      <w:r>
        <w:rPr>
          <w:rFonts w:hint="eastAsia"/>
          <w:sz w:val="30"/>
          <w:szCs w:val="30"/>
        </w:rPr>
        <w:t>万元港币。</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月，石碣电子公司的人员和资产并入石碣工贸公司，龙绍辉接任石碣工贸公司的总经理兼法人代表，负责该公司的全面工作。公司合并后，龙绍辉指示钱某某继续以石碣工贸公司名义向砂永厂每年收取</w:t>
      </w:r>
      <w:r>
        <w:rPr>
          <w:rFonts w:hint="eastAsia"/>
          <w:sz w:val="30"/>
          <w:szCs w:val="30"/>
        </w:rPr>
        <w:t>20</w:t>
      </w:r>
      <w:r>
        <w:rPr>
          <w:rFonts w:hint="eastAsia"/>
          <w:sz w:val="30"/>
          <w:szCs w:val="30"/>
        </w:rPr>
        <w:t>万元港币管理费。</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年期间，钱某某共向砂永厂收取港币合计</w:t>
      </w:r>
      <w:r>
        <w:rPr>
          <w:rFonts w:hint="eastAsia"/>
          <w:sz w:val="30"/>
          <w:szCs w:val="30"/>
        </w:rPr>
        <w:t>100</w:t>
      </w:r>
      <w:r>
        <w:rPr>
          <w:rFonts w:hint="eastAsia"/>
          <w:sz w:val="30"/>
          <w:szCs w:val="30"/>
        </w:rPr>
        <w:t>万元，并兑换成人民币放在办公室保险柜保管。龙绍辉指示钱某某把这些钱作为“小金库”资金使用，不纳入石碣电子公司、石碣工贸公司的财务账，主要用于公司的接待支出、公司人员福利等费用。</w:t>
      </w:r>
    </w:p>
    <w:p w:rsidR="009A2213" w:rsidRDefault="009A2213">
      <w:pPr>
        <w:spacing w:line="500" w:lineRule="atLeast"/>
        <w:ind w:firstLine="600"/>
        <w:divId w:val="2118138063"/>
        <w:rPr>
          <w:rFonts w:hint="eastAsia"/>
          <w:sz w:val="30"/>
          <w:szCs w:val="30"/>
        </w:rPr>
      </w:pPr>
      <w:r>
        <w:rPr>
          <w:rFonts w:hint="eastAsia"/>
          <w:sz w:val="30"/>
          <w:szCs w:val="30"/>
        </w:rPr>
        <w:t>2011</w:t>
      </w:r>
      <w:r>
        <w:rPr>
          <w:rFonts w:hint="eastAsia"/>
          <w:sz w:val="30"/>
          <w:szCs w:val="30"/>
        </w:rPr>
        <w:t>年年底的一天，在得知石碣工贸公司将要与石碣镇经济发展总公司合并的消息后，龙绍辉在其办公室向该公司的副总经理梁某某和夏某某、出纳钱某某、会计叶某某以及办公室主任刘某某（该五人均另作处理）提出，公司以后不能再设“小金库”，将上述“小金库”剩余资金</w:t>
      </w:r>
      <w:r>
        <w:rPr>
          <w:rFonts w:hint="eastAsia"/>
          <w:sz w:val="30"/>
          <w:szCs w:val="30"/>
        </w:rPr>
        <w:t>22.93</w:t>
      </w:r>
      <w:r>
        <w:rPr>
          <w:rFonts w:hint="eastAsia"/>
          <w:sz w:val="30"/>
          <w:szCs w:val="30"/>
        </w:rPr>
        <w:t>万元分给在场</w:t>
      </w:r>
      <w:r>
        <w:rPr>
          <w:rFonts w:hint="eastAsia"/>
          <w:sz w:val="30"/>
          <w:szCs w:val="30"/>
        </w:rPr>
        <w:t>6</w:t>
      </w:r>
      <w:r>
        <w:rPr>
          <w:rFonts w:hint="eastAsia"/>
          <w:sz w:val="30"/>
          <w:szCs w:val="30"/>
        </w:rPr>
        <w:t>人，在场人员均表示同意。第二天，钱某某按照龙绍辉指示的金额，将上述</w:t>
      </w:r>
      <w:r>
        <w:rPr>
          <w:rFonts w:hint="eastAsia"/>
          <w:sz w:val="30"/>
          <w:szCs w:val="30"/>
        </w:rPr>
        <w:t>22.93</w:t>
      </w:r>
      <w:r>
        <w:rPr>
          <w:rFonts w:hint="eastAsia"/>
          <w:sz w:val="30"/>
          <w:szCs w:val="30"/>
        </w:rPr>
        <w:t>万元分成</w:t>
      </w:r>
      <w:r>
        <w:rPr>
          <w:rFonts w:hint="eastAsia"/>
          <w:sz w:val="30"/>
          <w:szCs w:val="30"/>
        </w:rPr>
        <w:t>6</w:t>
      </w:r>
      <w:r>
        <w:rPr>
          <w:rFonts w:hint="eastAsia"/>
          <w:sz w:val="30"/>
          <w:szCs w:val="30"/>
        </w:rPr>
        <w:t>份，并把钱分别拿给上述</w:t>
      </w:r>
      <w:r>
        <w:rPr>
          <w:rFonts w:hint="eastAsia"/>
          <w:sz w:val="30"/>
          <w:szCs w:val="30"/>
        </w:rPr>
        <w:t>6</w:t>
      </w:r>
      <w:r>
        <w:rPr>
          <w:rFonts w:hint="eastAsia"/>
          <w:sz w:val="30"/>
          <w:szCs w:val="30"/>
        </w:rPr>
        <w:t>名在场人员，其中龙绍辉分得</w:t>
      </w:r>
      <w:r>
        <w:rPr>
          <w:rFonts w:hint="eastAsia"/>
          <w:sz w:val="30"/>
          <w:szCs w:val="30"/>
        </w:rPr>
        <w:t>7</w:t>
      </w:r>
      <w:r>
        <w:rPr>
          <w:rFonts w:hint="eastAsia"/>
          <w:sz w:val="30"/>
          <w:szCs w:val="30"/>
        </w:rPr>
        <w:t>万元，钱某某分得</w:t>
      </w:r>
      <w:r>
        <w:rPr>
          <w:rFonts w:hint="eastAsia"/>
          <w:sz w:val="30"/>
          <w:szCs w:val="30"/>
        </w:rPr>
        <w:t>5</w:t>
      </w:r>
      <w:r>
        <w:rPr>
          <w:rFonts w:hint="eastAsia"/>
          <w:sz w:val="30"/>
          <w:szCs w:val="30"/>
        </w:rPr>
        <w:t>万元，梁某某分得</w:t>
      </w:r>
      <w:r>
        <w:rPr>
          <w:rFonts w:hint="eastAsia"/>
          <w:sz w:val="30"/>
          <w:szCs w:val="30"/>
        </w:rPr>
        <w:t>4.93</w:t>
      </w:r>
      <w:r>
        <w:rPr>
          <w:rFonts w:hint="eastAsia"/>
          <w:sz w:val="30"/>
          <w:szCs w:val="30"/>
        </w:rPr>
        <w:t>万元，夏某某、叶某某、刘某某各分得</w:t>
      </w:r>
      <w:r>
        <w:rPr>
          <w:rFonts w:hint="eastAsia"/>
          <w:sz w:val="30"/>
          <w:szCs w:val="30"/>
        </w:rPr>
        <w:t>2</w:t>
      </w:r>
      <w:r>
        <w:rPr>
          <w:rFonts w:hint="eastAsia"/>
          <w:sz w:val="30"/>
          <w:szCs w:val="30"/>
        </w:rPr>
        <w:t>万元。</w:t>
      </w:r>
    </w:p>
    <w:p w:rsidR="009A2213" w:rsidRDefault="009A2213">
      <w:pPr>
        <w:spacing w:line="500" w:lineRule="atLeast"/>
        <w:ind w:firstLine="600"/>
        <w:divId w:val="1915166077"/>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日，侦查部门从石碣镇政府将龙绍辉带回东莞市人民检察院调查。</w:t>
      </w:r>
    </w:p>
    <w:p w:rsidR="009A2213" w:rsidRDefault="009A2213">
      <w:pPr>
        <w:spacing w:line="500" w:lineRule="atLeast"/>
        <w:ind w:firstLine="600"/>
        <w:divId w:val="1601527219"/>
        <w:rPr>
          <w:rFonts w:hint="eastAsia"/>
          <w:sz w:val="30"/>
          <w:szCs w:val="30"/>
        </w:rPr>
      </w:pPr>
      <w:r>
        <w:rPr>
          <w:rFonts w:hint="eastAsia"/>
          <w:sz w:val="30"/>
          <w:szCs w:val="30"/>
        </w:rPr>
        <w:t>公诉机关并向法庭提交了证人证言、相关的书证、被告人的供述与辩解等证据，据此认为被告人龙绍辉利用其担任石碣工贸公司总经理的职务便利，伙同公司人员侵吞石碣工贸公司公款共</w:t>
      </w:r>
      <w:r>
        <w:rPr>
          <w:rFonts w:hint="eastAsia"/>
          <w:sz w:val="30"/>
          <w:szCs w:val="30"/>
        </w:rPr>
        <w:t>22.93</w:t>
      </w:r>
      <w:r>
        <w:rPr>
          <w:rFonts w:hint="eastAsia"/>
          <w:sz w:val="30"/>
          <w:szCs w:val="30"/>
        </w:rPr>
        <w:t>万元，其个人分得</w:t>
      </w:r>
      <w:r>
        <w:rPr>
          <w:rFonts w:hint="eastAsia"/>
          <w:sz w:val="30"/>
          <w:szCs w:val="30"/>
        </w:rPr>
        <w:t>7</w:t>
      </w:r>
      <w:r>
        <w:rPr>
          <w:rFonts w:hint="eastAsia"/>
          <w:sz w:val="30"/>
          <w:szCs w:val="30"/>
        </w:rPr>
        <w:t>万元，其行为已经触犯《中华人民共和国刑法》第三百八十二条的规定，构成贪污罪。提请本院依法惩处。</w:t>
      </w:r>
    </w:p>
    <w:p w:rsidR="009A2213" w:rsidRDefault="009A2213">
      <w:pPr>
        <w:spacing w:line="500" w:lineRule="atLeast"/>
        <w:ind w:firstLine="600"/>
        <w:divId w:val="1154299715"/>
        <w:rPr>
          <w:rFonts w:hint="eastAsia"/>
          <w:sz w:val="30"/>
          <w:szCs w:val="30"/>
        </w:rPr>
      </w:pPr>
      <w:r>
        <w:rPr>
          <w:rFonts w:hint="eastAsia"/>
          <w:sz w:val="30"/>
          <w:szCs w:val="30"/>
        </w:rPr>
        <w:t>对公诉机关指控的犯罪事实，被告人龙绍辉基本没有异议，辩称并非是其决定收取企业的费用，小金库是之前遗留下来的，保留小金库和分钱都是经过会议决定的。</w:t>
      </w:r>
    </w:p>
    <w:p w:rsidR="009A2213" w:rsidRDefault="009A2213">
      <w:pPr>
        <w:spacing w:line="500" w:lineRule="atLeast"/>
        <w:ind w:firstLine="600"/>
        <w:divId w:val="732311830"/>
        <w:rPr>
          <w:rFonts w:hint="eastAsia"/>
          <w:sz w:val="30"/>
          <w:szCs w:val="30"/>
        </w:rPr>
      </w:pPr>
      <w:r>
        <w:rPr>
          <w:rFonts w:hint="eastAsia"/>
          <w:sz w:val="30"/>
          <w:szCs w:val="30"/>
        </w:rPr>
        <w:t>被告人龙绍辉的辩护人麦荣福当庭提出以下辩护意见：</w:t>
      </w:r>
      <w:r>
        <w:rPr>
          <w:rFonts w:hint="eastAsia"/>
          <w:sz w:val="30"/>
          <w:szCs w:val="30"/>
        </w:rPr>
        <w:t>1.</w:t>
      </w:r>
      <w:r>
        <w:rPr>
          <w:rFonts w:hint="eastAsia"/>
          <w:sz w:val="30"/>
          <w:szCs w:val="30"/>
        </w:rPr>
        <w:t>被告人龙绍辉的行为构成私分国有资产罪，而不是贪污罪。龙绍辉和同案人所分钱款属于国有资产；私分涉案款项是集体讨论做出的决定，代表的是公司的意志，而非龙绍辉的个人意志，且分钱具有公开性。</w:t>
      </w:r>
      <w:r>
        <w:rPr>
          <w:rFonts w:hint="eastAsia"/>
          <w:sz w:val="30"/>
          <w:szCs w:val="30"/>
        </w:rPr>
        <w:t>2.</w:t>
      </w:r>
      <w:r>
        <w:rPr>
          <w:rFonts w:hint="eastAsia"/>
          <w:sz w:val="30"/>
          <w:szCs w:val="30"/>
        </w:rPr>
        <w:t>公诉机关指控龙绍辉伙同公司人员侵吞公款</w:t>
      </w:r>
      <w:r>
        <w:rPr>
          <w:rFonts w:hint="eastAsia"/>
          <w:sz w:val="30"/>
          <w:szCs w:val="30"/>
        </w:rPr>
        <w:t>22.93</w:t>
      </w:r>
      <w:r>
        <w:rPr>
          <w:rFonts w:hint="eastAsia"/>
          <w:sz w:val="30"/>
          <w:szCs w:val="30"/>
        </w:rPr>
        <w:t>万元的证据不足，石碣工贸公司“小金库”的余款应不足</w:t>
      </w:r>
      <w:r>
        <w:rPr>
          <w:rFonts w:hint="eastAsia"/>
          <w:sz w:val="30"/>
          <w:szCs w:val="30"/>
        </w:rPr>
        <w:t>20</w:t>
      </w:r>
      <w:r>
        <w:rPr>
          <w:rFonts w:hint="eastAsia"/>
          <w:sz w:val="30"/>
          <w:szCs w:val="30"/>
        </w:rPr>
        <w:t>万元；根据钱某甲的陈述指控龙绍辉分得</w:t>
      </w:r>
      <w:r>
        <w:rPr>
          <w:rFonts w:hint="eastAsia"/>
          <w:sz w:val="30"/>
          <w:szCs w:val="30"/>
        </w:rPr>
        <w:t>7</w:t>
      </w:r>
      <w:r>
        <w:rPr>
          <w:rFonts w:hint="eastAsia"/>
          <w:sz w:val="30"/>
          <w:szCs w:val="30"/>
        </w:rPr>
        <w:t>万元，证据不足。</w:t>
      </w:r>
      <w:r>
        <w:rPr>
          <w:rFonts w:hint="eastAsia"/>
          <w:sz w:val="30"/>
          <w:szCs w:val="30"/>
        </w:rPr>
        <w:t>3.</w:t>
      </w:r>
      <w:r>
        <w:rPr>
          <w:rFonts w:hint="eastAsia"/>
          <w:sz w:val="30"/>
          <w:szCs w:val="30"/>
        </w:rPr>
        <w:t>龙绍辉归案后如实供述罪行，依法可以从轻处罚。</w:t>
      </w:r>
      <w:r>
        <w:rPr>
          <w:rFonts w:hint="eastAsia"/>
          <w:sz w:val="30"/>
          <w:szCs w:val="30"/>
        </w:rPr>
        <w:t>4.</w:t>
      </w:r>
      <w:r>
        <w:rPr>
          <w:rFonts w:hint="eastAsia"/>
          <w:sz w:val="30"/>
          <w:szCs w:val="30"/>
        </w:rPr>
        <w:t>龙绍辉及同案人已经主动全额退赃，可以从轻处罚。</w:t>
      </w:r>
      <w:r>
        <w:rPr>
          <w:rFonts w:hint="eastAsia"/>
          <w:sz w:val="30"/>
          <w:szCs w:val="30"/>
        </w:rPr>
        <w:t>5.</w:t>
      </w:r>
      <w:r>
        <w:rPr>
          <w:rFonts w:hint="eastAsia"/>
          <w:sz w:val="30"/>
          <w:szCs w:val="30"/>
        </w:rPr>
        <w:t>龙绍辉犯罪情节相对较轻，主观恶性较小，一贯表现良好，无前科。</w:t>
      </w:r>
    </w:p>
    <w:p w:rsidR="009A2213" w:rsidRDefault="009A2213">
      <w:pPr>
        <w:spacing w:line="500" w:lineRule="atLeast"/>
        <w:ind w:firstLine="600"/>
        <w:divId w:val="1047952906"/>
        <w:rPr>
          <w:rFonts w:hint="eastAsia"/>
          <w:sz w:val="30"/>
          <w:szCs w:val="30"/>
        </w:rPr>
      </w:pPr>
      <w:r>
        <w:rPr>
          <w:rFonts w:hint="eastAsia"/>
          <w:sz w:val="30"/>
          <w:szCs w:val="30"/>
        </w:rPr>
        <w:t>被告人龙绍辉的辩护人苑景会系庭后委托，未参与开庭，提出以下书面的辩护意见：</w:t>
      </w:r>
      <w:r>
        <w:rPr>
          <w:rFonts w:hint="eastAsia"/>
          <w:sz w:val="30"/>
          <w:szCs w:val="30"/>
        </w:rPr>
        <w:t>1.</w:t>
      </w:r>
      <w:r>
        <w:rPr>
          <w:rFonts w:hint="eastAsia"/>
          <w:sz w:val="30"/>
          <w:szCs w:val="30"/>
        </w:rPr>
        <w:t>被告人龙绍辉不符合贪污罪的主体要求。龙绍辉不是国家机关工作人员，也不是国有事业单位的编制内人员；龙绍辉担任集体企业的总经理之职，并非是公务行为，也不是国有公司、企业中从事公务的人员，不能以国家工作人员论处，也不属于国家机关、国有公司、企业事业单位委派到非国有公司、企业、事业单位、社会团体从事公务的人员。</w:t>
      </w:r>
      <w:r>
        <w:rPr>
          <w:rFonts w:hint="eastAsia"/>
          <w:sz w:val="30"/>
          <w:szCs w:val="30"/>
        </w:rPr>
        <w:t>2.</w:t>
      </w:r>
      <w:r>
        <w:rPr>
          <w:rFonts w:hint="eastAsia"/>
          <w:sz w:val="30"/>
          <w:szCs w:val="30"/>
        </w:rPr>
        <w:t>被告人龙绍辉系初犯、偶犯，无违法犯罪前科。</w:t>
      </w:r>
      <w:r>
        <w:rPr>
          <w:rFonts w:hint="eastAsia"/>
          <w:sz w:val="30"/>
          <w:szCs w:val="30"/>
        </w:rPr>
        <w:t>3.</w:t>
      </w:r>
      <w:r>
        <w:rPr>
          <w:rFonts w:hint="eastAsia"/>
          <w:sz w:val="30"/>
          <w:szCs w:val="30"/>
        </w:rPr>
        <w:t>石碣工贸公司“小金库”资金来源于砂永厂的协议支付，去向为给单位员工支付福利费、招待费，案发时的分配也作为单位员工领导层福利费，按照职务高低、贡献大小的形式发放的。</w:t>
      </w:r>
      <w:r>
        <w:rPr>
          <w:rFonts w:hint="eastAsia"/>
          <w:sz w:val="30"/>
          <w:szCs w:val="30"/>
        </w:rPr>
        <w:t>4.</w:t>
      </w:r>
      <w:r>
        <w:rPr>
          <w:rFonts w:hint="eastAsia"/>
          <w:sz w:val="30"/>
          <w:szCs w:val="30"/>
        </w:rPr>
        <w:t>处理“小金库”的资金是班子集体决策的，其他人没有反对，龙绍辉起的作用很小。</w:t>
      </w:r>
      <w:r>
        <w:rPr>
          <w:rFonts w:hint="eastAsia"/>
          <w:sz w:val="30"/>
          <w:szCs w:val="30"/>
        </w:rPr>
        <w:t>5.</w:t>
      </w:r>
      <w:r>
        <w:rPr>
          <w:rFonts w:hint="eastAsia"/>
          <w:sz w:val="30"/>
          <w:szCs w:val="30"/>
        </w:rPr>
        <w:t>龙绍辉已经将所得的赃款</w:t>
      </w:r>
      <w:r>
        <w:rPr>
          <w:rFonts w:hint="eastAsia"/>
          <w:sz w:val="30"/>
          <w:szCs w:val="30"/>
        </w:rPr>
        <w:t>7</w:t>
      </w:r>
      <w:r>
        <w:rPr>
          <w:rFonts w:hint="eastAsia"/>
          <w:sz w:val="30"/>
          <w:szCs w:val="30"/>
        </w:rPr>
        <w:t>万元退还。</w:t>
      </w:r>
      <w:r>
        <w:rPr>
          <w:rFonts w:hint="eastAsia"/>
          <w:sz w:val="30"/>
          <w:szCs w:val="30"/>
        </w:rPr>
        <w:t>6.</w:t>
      </w:r>
      <w:r>
        <w:rPr>
          <w:rFonts w:hint="eastAsia"/>
          <w:sz w:val="30"/>
          <w:szCs w:val="30"/>
        </w:rPr>
        <w:t>建议对被告人龙绍辉适用缓刑。</w:t>
      </w:r>
    </w:p>
    <w:p w:rsidR="009A2213" w:rsidRDefault="009A2213">
      <w:pPr>
        <w:spacing w:line="500" w:lineRule="atLeast"/>
        <w:ind w:firstLine="600"/>
        <w:divId w:val="1659573531"/>
        <w:rPr>
          <w:rFonts w:hint="eastAsia"/>
          <w:sz w:val="30"/>
          <w:szCs w:val="30"/>
        </w:rPr>
      </w:pPr>
      <w:r>
        <w:rPr>
          <w:rFonts w:hint="eastAsia"/>
          <w:sz w:val="30"/>
          <w:szCs w:val="30"/>
        </w:rPr>
        <w:t>经审理查明，东莞市石碣镇工贸实业公司（以下简称石碣工贸公司）与东莞市石碣电子技术开发公司（以下简称石碣电子公司）均是由东莞市石碣镇经济发展总公司（投资人为东莞市石碣镇人民政府）投资组建的镇属集体企业，该二间公司的总经理均由中共石碣镇委员会任命。</w:t>
      </w:r>
    </w:p>
    <w:p w:rsidR="009A2213" w:rsidRDefault="009A2213">
      <w:pPr>
        <w:spacing w:line="500" w:lineRule="atLeast"/>
        <w:ind w:firstLine="600"/>
        <w:divId w:val="1214198603"/>
        <w:rPr>
          <w:rFonts w:hint="eastAsia"/>
          <w:sz w:val="30"/>
          <w:szCs w:val="30"/>
        </w:rPr>
      </w:pPr>
      <w:r>
        <w:rPr>
          <w:rFonts w:hint="eastAsia"/>
          <w:sz w:val="30"/>
          <w:szCs w:val="30"/>
        </w:rPr>
        <w:t>2006</w:t>
      </w:r>
      <w:r>
        <w:rPr>
          <w:rFonts w:hint="eastAsia"/>
          <w:sz w:val="30"/>
          <w:szCs w:val="30"/>
        </w:rPr>
        <w:t>年，石碣电子公司与“三来一补”企业东莞石碣砂永注塑件厂（以下简称砂永厂）约定，除了正常的服务费和管理费之外，砂永厂每年再向石碣电子公司支付额外的管理费</w:t>
      </w:r>
      <w:r>
        <w:rPr>
          <w:rFonts w:hint="eastAsia"/>
          <w:sz w:val="30"/>
          <w:szCs w:val="30"/>
        </w:rPr>
        <w:t>20</w:t>
      </w:r>
      <w:r>
        <w:rPr>
          <w:rFonts w:hint="eastAsia"/>
          <w:sz w:val="30"/>
          <w:szCs w:val="30"/>
        </w:rPr>
        <w:t>万元港币，该费用被石碣电子公司作为“小金库”的资金使用。</w:t>
      </w:r>
      <w:r>
        <w:rPr>
          <w:rFonts w:hint="eastAsia"/>
          <w:sz w:val="30"/>
          <w:szCs w:val="30"/>
        </w:rPr>
        <w:t>2007</w:t>
      </w:r>
      <w:r>
        <w:rPr>
          <w:rFonts w:hint="eastAsia"/>
          <w:sz w:val="30"/>
          <w:szCs w:val="30"/>
        </w:rPr>
        <w:t>年</w:t>
      </w:r>
      <w:r>
        <w:rPr>
          <w:rFonts w:hint="eastAsia"/>
          <w:sz w:val="30"/>
          <w:szCs w:val="30"/>
        </w:rPr>
        <w:t>4</w:t>
      </w:r>
      <w:r>
        <w:rPr>
          <w:rFonts w:hint="eastAsia"/>
          <w:sz w:val="30"/>
          <w:szCs w:val="30"/>
        </w:rPr>
        <w:t>月起，被告人龙绍辉被中共石碣镇委任命为石碣电子公司总经理兼法人代表，负责该公司全面工作。龙绍辉在被告知“小金库”的情况后，仍然指示石碣电子公司原出纳钱某某向砂永厂收取上述管理费。</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月，石碣电子公司的人员和资产并入石碣工贸公司，龙绍辉接任石碣工贸公司的总经理兼法人代表，负责该公司的全面工作。公司合并后，龙绍辉指示钱某某继续以石碣工贸公司名义向砂永厂每年收取</w:t>
      </w:r>
      <w:r>
        <w:rPr>
          <w:rFonts w:hint="eastAsia"/>
          <w:sz w:val="30"/>
          <w:szCs w:val="30"/>
        </w:rPr>
        <w:t>20</w:t>
      </w:r>
      <w:r>
        <w:rPr>
          <w:rFonts w:hint="eastAsia"/>
          <w:sz w:val="30"/>
          <w:szCs w:val="30"/>
        </w:rPr>
        <w:t>万元港币管理费。</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年期间，钱某某共向砂永厂收取港币合计</w:t>
      </w:r>
      <w:r>
        <w:rPr>
          <w:rFonts w:hint="eastAsia"/>
          <w:sz w:val="30"/>
          <w:szCs w:val="30"/>
        </w:rPr>
        <w:t>100</w:t>
      </w:r>
      <w:r>
        <w:rPr>
          <w:rFonts w:hint="eastAsia"/>
          <w:sz w:val="30"/>
          <w:szCs w:val="30"/>
        </w:rPr>
        <w:t>万元，并兑换成人民币放在办公室保险柜保管，作为“小金库的资金使用。上述费用均未纳入石碣电子公司、石碣工贸公司的财务账，主要用于公司的接待支出、公司人员福利等费用。</w:t>
      </w:r>
    </w:p>
    <w:p w:rsidR="009A2213" w:rsidRDefault="009A2213">
      <w:pPr>
        <w:spacing w:line="500" w:lineRule="atLeast"/>
        <w:ind w:firstLine="600"/>
        <w:divId w:val="1473330050"/>
        <w:rPr>
          <w:rFonts w:hint="eastAsia"/>
          <w:sz w:val="30"/>
          <w:szCs w:val="30"/>
        </w:rPr>
      </w:pPr>
      <w:r>
        <w:rPr>
          <w:rFonts w:hint="eastAsia"/>
          <w:sz w:val="30"/>
          <w:szCs w:val="30"/>
        </w:rPr>
        <w:t>2011</w:t>
      </w:r>
      <w:r>
        <w:rPr>
          <w:rFonts w:hint="eastAsia"/>
          <w:sz w:val="30"/>
          <w:szCs w:val="30"/>
        </w:rPr>
        <w:t>年年底的一天，在得知石碣工贸公司将要与石碣镇经济发展总公司合并的消息后，龙绍辉在其办公室向该公司的副总经理梁某某和夏某某、出纳钱某某、会计叶某某以及办公室主任刘某某（该五人均另作处理）提出，公司以后不能再设“小金库”，将上述“小金库”剩余资金</w:t>
      </w:r>
      <w:r>
        <w:rPr>
          <w:rFonts w:hint="eastAsia"/>
          <w:sz w:val="30"/>
          <w:szCs w:val="30"/>
        </w:rPr>
        <w:t>22.93</w:t>
      </w:r>
      <w:r>
        <w:rPr>
          <w:rFonts w:hint="eastAsia"/>
          <w:sz w:val="30"/>
          <w:szCs w:val="30"/>
        </w:rPr>
        <w:t>万元分给在场</w:t>
      </w:r>
      <w:r>
        <w:rPr>
          <w:rFonts w:hint="eastAsia"/>
          <w:sz w:val="30"/>
          <w:szCs w:val="30"/>
        </w:rPr>
        <w:t>6</w:t>
      </w:r>
      <w:r>
        <w:rPr>
          <w:rFonts w:hint="eastAsia"/>
          <w:sz w:val="30"/>
          <w:szCs w:val="30"/>
        </w:rPr>
        <w:t>人，在场人员均表示同意。第二天，钱某某按照龙绍辉的指示，将上述</w:t>
      </w:r>
      <w:r>
        <w:rPr>
          <w:rFonts w:hint="eastAsia"/>
          <w:sz w:val="30"/>
          <w:szCs w:val="30"/>
        </w:rPr>
        <w:t>22.93</w:t>
      </w:r>
      <w:r>
        <w:rPr>
          <w:rFonts w:hint="eastAsia"/>
          <w:sz w:val="30"/>
          <w:szCs w:val="30"/>
        </w:rPr>
        <w:t>万元分成</w:t>
      </w:r>
      <w:r>
        <w:rPr>
          <w:rFonts w:hint="eastAsia"/>
          <w:sz w:val="30"/>
          <w:szCs w:val="30"/>
        </w:rPr>
        <w:t>6</w:t>
      </w:r>
      <w:r>
        <w:rPr>
          <w:rFonts w:hint="eastAsia"/>
          <w:sz w:val="30"/>
          <w:szCs w:val="30"/>
        </w:rPr>
        <w:t>份，并把钱分别拿给上述</w:t>
      </w:r>
      <w:r>
        <w:rPr>
          <w:rFonts w:hint="eastAsia"/>
          <w:sz w:val="30"/>
          <w:szCs w:val="30"/>
        </w:rPr>
        <w:t>6</w:t>
      </w:r>
      <w:r>
        <w:rPr>
          <w:rFonts w:hint="eastAsia"/>
          <w:sz w:val="30"/>
          <w:szCs w:val="30"/>
        </w:rPr>
        <w:t>名在场人员，其中龙绍辉分得</w:t>
      </w:r>
      <w:r>
        <w:rPr>
          <w:rFonts w:hint="eastAsia"/>
          <w:sz w:val="30"/>
          <w:szCs w:val="30"/>
        </w:rPr>
        <w:t>7</w:t>
      </w:r>
      <w:r>
        <w:rPr>
          <w:rFonts w:hint="eastAsia"/>
          <w:sz w:val="30"/>
          <w:szCs w:val="30"/>
        </w:rPr>
        <w:t>万元，钱某某分得</w:t>
      </w:r>
      <w:r>
        <w:rPr>
          <w:rFonts w:hint="eastAsia"/>
          <w:sz w:val="30"/>
          <w:szCs w:val="30"/>
        </w:rPr>
        <w:t>5</w:t>
      </w:r>
      <w:r>
        <w:rPr>
          <w:rFonts w:hint="eastAsia"/>
          <w:sz w:val="30"/>
          <w:szCs w:val="30"/>
        </w:rPr>
        <w:t>万元，梁某某分得</w:t>
      </w:r>
      <w:r>
        <w:rPr>
          <w:rFonts w:hint="eastAsia"/>
          <w:sz w:val="30"/>
          <w:szCs w:val="30"/>
        </w:rPr>
        <w:t>4.93</w:t>
      </w:r>
      <w:r>
        <w:rPr>
          <w:rFonts w:hint="eastAsia"/>
          <w:sz w:val="30"/>
          <w:szCs w:val="30"/>
        </w:rPr>
        <w:t>万元，夏某某、叶某某、刘某某各分得</w:t>
      </w:r>
      <w:r>
        <w:rPr>
          <w:rFonts w:hint="eastAsia"/>
          <w:sz w:val="30"/>
          <w:szCs w:val="30"/>
        </w:rPr>
        <w:t>2</w:t>
      </w:r>
      <w:r>
        <w:rPr>
          <w:rFonts w:hint="eastAsia"/>
          <w:sz w:val="30"/>
          <w:szCs w:val="30"/>
        </w:rPr>
        <w:t>万元。</w:t>
      </w:r>
    </w:p>
    <w:p w:rsidR="009A2213" w:rsidRDefault="009A2213">
      <w:pPr>
        <w:spacing w:line="500" w:lineRule="atLeast"/>
        <w:ind w:firstLine="600"/>
        <w:divId w:val="56636987"/>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日，侦查部门从石碣镇政府将龙绍辉带回东莞市人民检察院调查。破案后，被告人龙绍辉等六人已经退出上述所分得的赃款。</w:t>
      </w:r>
    </w:p>
    <w:p w:rsidR="009A2213" w:rsidRDefault="009A2213">
      <w:pPr>
        <w:spacing w:line="500" w:lineRule="atLeast"/>
        <w:ind w:firstLine="600"/>
        <w:divId w:val="147327496"/>
        <w:rPr>
          <w:rFonts w:hint="eastAsia"/>
          <w:sz w:val="30"/>
          <w:szCs w:val="30"/>
        </w:rPr>
      </w:pPr>
      <w:r>
        <w:rPr>
          <w:rFonts w:hint="eastAsia"/>
          <w:sz w:val="30"/>
          <w:szCs w:val="30"/>
        </w:rPr>
        <w:t>以上事实，被告人龙绍辉在开庭过程中基本没有异议，有经过当庭举证质证的证人袁某某、钱某某、叶某某、夏某某、梁某某、刘某某、谭某某、黄某某、叶某甲、姚某、梁某甲、钟某某、单某某、李某某、黄某甲、何某某、秦某某等人的证言，到案经过，常住人口基本信息，龙绍辉的任职文件，查封、扣押财产、文件清单，砂永厂的营业执照及出具的情况说明石碣电子公司与砂永厂的备忘录，石碣电子公司收取砂永厂相关费用的票据，东莞市石碣镇经济发展总公司提供的明细分类账，石碣电子公司的收款收据、现金缴款单、发票、进账单、明细分类账，石碣电子公司并入石碣工贸公司的相关文件，石碣电子公司和石碣工贸公司、石碣经济发展总公司的工商登记资料，东莞市石碣镇经济发展总公司与石碣电子公司、石碣工贸公司签订的《经营管理合约》，石碣电子公司、石碣工贸公司的工资发放情况说明等材料，审讯录像光盘，被告人龙绍辉的供述与辩解等证据予证实，足以认定。</w:t>
      </w:r>
    </w:p>
    <w:p w:rsidR="009A2213" w:rsidRDefault="009A2213">
      <w:pPr>
        <w:spacing w:line="500" w:lineRule="atLeast"/>
        <w:ind w:firstLine="600"/>
        <w:divId w:val="1560479417"/>
        <w:rPr>
          <w:rFonts w:hint="eastAsia"/>
          <w:sz w:val="30"/>
          <w:szCs w:val="30"/>
        </w:rPr>
      </w:pPr>
      <w:r>
        <w:rPr>
          <w:rFonts w:hint="eastAsia"/>
          <w:sz w:val="30"/>
          <w:szCs w:val="30"/>
        </w:rPr>
        <w:t>本院认为，被告人龙绍辉作为国有公司的负责人，伙同他人侵吞国有资产，超过十万元，其行为已构成贪污罪，依法应予惩处。公诉机关指控被告人龙绍辉的犯罪事实清楚，证据确实、充分，罪名成立，本院予以支持。</w:t>
      </w:r>
    </w:p>
    <w:p w:rsidR="009A2213" w:rsidRDefault="009A2213">
      <w:pPr>
        <w:spacing w:line="500" w:lineRule="atLeast"/>
        <w:ind w:firstLine="600"/>
        <w:divId w:val="1654023868"/>
        <w:rPr>
          <w:rFonts w:hint="eastAsia"/>
          <w:sz w:val="30"/>
          <w:szCs w:val="30"/>
        </w:rPr>
      </w:pPr>
      <w:r>
        <w:rPr>
          <w:rFonts w:hint="eastAsia"/>
          <w:sz w:val="30"/>
          <w:szCs w:val="30"/>
        </w:rPr>
        <w:t>关于本案的犯罪主体及犯罪对象问题，本院分析如下：</w:t>
      </w:r>
    </w:p>
    <w:p w:rsidR="009A2213" w:rsidRDefault="009A2213">
      <w:pPr>
        <w:spacing w:line="500" w:lineRule="atLeast"/>
        <w:ind w:firstLine="600"/>
        <w:divId w:val="1351293947"/>
        <w:rPr>
          <w:rFonts w:hint="eastAsia"/>
          <w:sz w:val="30"/>
          <w:szCs w:val="30"/>
        </w:rPr>
      </w:pPr>
      <w:r>
        <w:rPr>
          <w:rFonts w:hint="eastAsia"/>
          <w:sz w:val="30"/>
          <w:szCs w:val="30"/>
        </w:rPr>
        <w:t>首先，关于涉案公司的性质。经查：</w:t>
      </w:r>
      <w:r>
        <w:rPr>
          <w:rFonts w:hint="eastAsia"/>
          <w:sz w:val="30"/>
          <w:szCs w:val="30"/>
        </w:rPr>
        <w:t>1.</w:t>
      </w:r>
      <w:r>
        <w:rPr>
          <w:rFonts w:hint="eastAsia"/>
          <w:sz w:val="30"/>
          <w:szCs w:val="30"/>
        </w:rPr>
        <w:t>合并前的石碣电子公司，及合并前后的石碣工贸公司的企业法人营业执照显示该公司为集体所有制企业，但是《变更登记申请事项》、《企业法人变更登记申请书》、《企业法人经济性质证明书》等工商登记资料证实该公司的出资人为东莞市石碣镇经济发展总公司，主管部门为石碣镇人民政府。</w:t>
      </w:r>
      <w:r>
        <w:rPr>
          <w:rFonts w:hint="eastAsia"/>
          <w:sz w:val="30"/>
          <w:szCs w:val="30"/>
        </w:rPr>
        <w:t>2.</w:t>
      </w:r>
      <w:r>
        <w:rPr>
          <w:rFonts w:hint="eastAsia"/>
          <w:sz w:val="30"/>
          <w:szCs w:val="30"/>
        </w:rPr>
        <w:t>东莞市石碣镇经济发展总公司的企业登记资料显示该公司的性质为集体所有制企业，《验资事项说明》、《验资报告》（</w:t>
      </w:r>
      <w:r>
        <w:rPr>
          <w:rFonts w:hint="eastAsia"/>
          <w:sz w:val="30"/>
          <w:szCs w:val="30"/>
        </w:rPr>
        <w:t>1998</w:t>
      </w:r>
      <w:r>
        <w:rPr>
          <w:rFonts w:hint="eastAsia"/>
          <w:sz w:val="30"/>
          <w:szCs w:val="30"/>
        </w:rPr>
        <w:t>年）等资料证实该公司的投资人为东莞市石碣镇经济联合总社；而《企业法人申请开业资料注册书》、石碣镇人民政府《关于成立工商企业的批复》等资料（</w:t>
      </w:r>
      <w:r>
        <w:rPr>
          <w:rFonts w:hint="eastAsia"/>
          <w:sz w:val="30"/>
          <w:szCs w:val="30"/>
        </w:rPr>
        <w:t>1997</w:t>
      </w:r>
      <w:r>
        <w:rPr>
          <w:rFonts w:hint="eastAsia"/>
          <w:sz w:val="30"/>
          <w:szCs w:val="30"/>
        </w:rPr>
        <w:t>年）证实东莞市石碣镇经济联合总社的注册资金系由东莞市石碣镇财贸办全额投资。综上，</w:t>
      </w:r>
      <w:r>
        <w:rPr>
          <w:rFonts w:hint="eastAsia"/>
          <w:sz w:val="30"/>
          <w:szCs w:val="30"/>
        </w:rPr>
        <w:t>2010</w:t>
      </w:r>
      <w:r>
        <w:rPr>
          <w:rFonts w:hint="eastAsia"/>
          <w:sz w:val="30"/>
          <w:szCs w:val="30"/>
        </w:rPr>
        <w:t>年前的石碣电子公司、石碣工贸公司，及</w:t>
      </w:r>
      <w:r>
        <w:rPr>
          <w:rFonts w:hint="eastAsia"/>
          <w:sz w:val="30"/>
          <w:szCs w:val="30"/>
        </w:rPr>
        <w:t>2010</w:t>
      </w:r>
      <w:r>
        <w:rPr>
          <w:rFonts w:hint="eastAsia"/>
          <w:sz w:val="30"/>
          <w:szCs w:val="30"/>
        </w:rPr>
        <w:t>年合并后的石碣工贸公司，出资人为石碣镇经济发展总公司，而上述公司的投资来源均为东莞市石碣镇人民政府。因此，上述公司的工商登记虽为“集体所有制企业”，但是按照“谁投资、谁拥有产权”的原则，石碣工贸公司等公司属于国家出资企业，是国有公司，相关的资产属于国有资产。</w:t>
      </w:r>
    </w:p>
    <w:p w:rsidR="009A2213" w:rsidRDefault="009A2213">
      <w:pPr>
        <w:spacing w:line="500" w:lineRule="atLeast"/>
        <w:ind w:firstLine="600"/>
        <w:divId w:val="1903829779"/>
        <w:rPr>
          <w:rFonts w:hint="eastAsia"/>
          <w:sz w:val="30"/>
          <w:szCs w:val="30"/>
        </w:rPr>
      </w:pPr>
      <w:r>
        <w:rPr>
          <w:rFonts w:hint="eastAsia"/>
          <w:sz w:val="30"/>
          <w:szCs w:val="30"/>
        </w:rPr>
        <w:t>其次，关于帐外收入“小金库”的性质。龙绍辉等人从砂永厂收取的额外管理费系以石碣电子公司、石碣工贸公司的名义收取，虽有违规收取费用之嫌疑，也未纳入账目管理，但是系以公司名义收取，属于公司的收入，其性质属于国有资产。</w:t>
      </w:r>
    </w:p>
    <w:p w:rsidR="009A2213" w:rsidRDefault="009A2213">
      <w:pPr>
        <w:spacing w:line="500" w:lineRule="atLeast"/>
        <w:ind w:firstLine="600"/>
        <w:divId w:val="720984901"/>
        <w:rPr>
          <w:rFonts w:hint="eastAsia"/>
          <w:sz w:val="30"/>
          <w:szCs w:val="30"/>
        </w:rPr>
      </w:pPr>
      <w:r>
        <w:rPr>
          <w:rFonts w:hint="eastAsia"/>
          <w:sz w:val="30"/>
          <w:szCs w:val="30"/>
        </w:rPr>
        <w:t>最后，关于被告人龙绍辉的身份及职权。经查：</w:t>
      </w:r>
      <w:r>
        <w:rPr>
          <w:rFonts w:hint="eastAsia"/>
          <w:sz w:val="30"/>
          <w:szCs w:val="30"/>
        </w:rPr>
        <w:t>1.</w:t>
      </w:r>
      <w:r>
        <w:rPr>
          <w:rFonts w:hint="eastAsia"/>
          <w:sz w:val="30"/>
          <w:szCs w:val="30"/>
        </w:rPr>
        <w:t>《中共石碣镇委文件（</w:t>
      </w:r>
      <w:r>
        <w:rPr>
          <w:rFonts w:hint="eastAsia"/>
          <w:sz w:val="30"/>
          <w:szCs w:val="30"/>
        </w:rPr>
        <w:t>2007</w:t>
      </w:r>
      <w:r>
        <w:rPr>
          <w:rFonts w:hint="eastAsia"/>
          <w:sz w:val="30"/>
          <w:szCs w:val="30"/>
        </w:rPr>
        <w:t>）</w:t>
      </w:r>
      <w:r>
        <w:rPr>
          <w:rFonts w:hint="eastAsia"/>
          <w:sz w:val="30"/>
          <w:szCs w:val="30"/>
        </w:rPr>
        <w:t>26</w:t>
      </w:r>
      <w:r>
        <w:rPr>
          <w:rFonts w:hint="eastAsia"/>
          <w:sz w:val="30"/>
          <w:szCs w:val="30"/>
        </w:rPr>
        <w:t>号》、《中共石碣镇委文件（</w:t>
      </w:r>
      <w:r>
        <w:rPr>
          <w:rFonts w:hint="eastAsia"/>
          <w:sz w:val="30"/>
          <w:szCs w:val="30"/>
        </w:rPr>
        <w:t>2010</w:t>
      </w:r>
      <w:r>
        <w:rPr>
          <w:rFonts w:hint="eastAsia"/>
          <w:sz w:val="30"/>
          <w:szCs w:val="30"/>
        </w:rPr>
        <w:t>）</w:t>
      </w:r>
      <w:r>
        <w:rPr>
          <w:rFonts w:hint="eastAsia"/>
          <w:sz w:val="30"/>
          <w:szCs w:val="30"/>
        </w:rPr>
        <w:t>27</w:t>
      </w:r>
      <w:r>
        <w:rPr>
          <w:rFonts w:hint="eastAsia"/>
          <w:sz w:val="30"/>
          <w:szCs w:val="30"/>
        </w:rPr>
        <w:t>号》证实中共东莞市石碣镇委员会于</w:t>
      </w:r>
      <w:r>
        <w:rPr>
          <w:rFonts w:hint="eastAsia"/>
          <w:sz w:val="30"/>
          <w:szCs w:val="30"/>
        </w:rPr>
        <w:t>2007</w:t>
      </w:r>
      <w:r>
        <w:rPr>
          <w:rFonts w:hint="eastAsia"/>
          <w:sz w:val="30"/>
          <w:szCs w:val="30"/>
        </w:rPr>
        <w:t>年任命龙绍辉为石碣电子公司的总经理、党支部书记，于</w:t>
      </w:r>
      <w:r>
        <w:rPr>
          <w:rFonts w:hint="eastAsia"/>
          <w:sz w:val="30"/>
          <w:szCs w:val="30"/>
        </w:rPr>
        <w:t>2010</w:t>
      </w:r>
      <w:r>
        <w:rPr>
          <w:rFonts w:hint="eastAsia"/>
          <w:sz w:val="30"/>
          <w:szCs w:val="30"/>
        </w:rPr>
        <w:t>年聘任龙绍辉为石碣工贸公司（与石碣电子公司合并）总经理。</w:t>
      </w:r>
      <w:r>
        <w:rPr>
          <w:rFonts w:hint="eastAsia"/>
          <w:sz w:val="30"/>
          <w:szCs w:val="30"/>
        </w:rPr>
        <w:t>2.</w:t>
      </w:r>
      <w:r>
        <w:rPr>
          <w:rFonts w:hint="eastAsia"/>
          <w:sz w:val="30"/>
          <w:szCs w:val="30"/>
        </w:rPr>
        <w:t>东莞市石碣镇经济发展总公司和石碣工贸公司签订的《经营管理合约》（</w:t>
      </w:r>
      <w:r>
        <w:rPr>
          <w:rFonts w:hint="eastAsia"/>
          <w:sz w:val="30"/>
          <w:szCs w:val="30"/>
        </w:rPr>
        <w:t>2010</w:t>
      </w:r>
      <w:r>
        <w:rPr>
          <w:rFonts w:hint="eastAsia"/>
          <w:sz w:val="30"/>
          <w:szCs w:val="30"/>
        </w:rPr>
        <w:t>年</w:t>
      </w:r>
      <w:r>
        <w:rPr>
          <w:rFonts w:hint="eastAsia"/>
          <w:sz w:val="30"/>
          <w:szCs w:val="30"/>
        </w:rPr>
        <w:t>1</w:t>
      </w:r>
      <w:r>
        <w:rPr>
          <w:rFonts w:hint="eastAsia"/>
          <w:sz w:val="30"/>
          <w:szCs w:val="30"/>
        </w:rPr>
        <w:t>月签订）显示：前者授权石碣工贸公司负责经营核算和管理所属的合资、合作、协作、来料加工企业，帮助以上企业做好安全防范、财务核算及协调相关部门的业务关系等工作；石碣工贸公司的主要收入包括各种管理费、租赁费、协作费、代收水电费等；利润分配方面，石碣工贸公司的基本利润和超额利润扣除各项奖励或罚款后，全部上缴前者。</w:t>
      </w:r>
      <w:r>
        <w:rPr>
          <w:rFonts w:hint="eastAsia"/>
          <w:sz w:val="30"/>
          <w:szCs w:val="30"/>
        </w:rPr>
        <w:t>3.</w:t>
      </w:r>
      <w:r>
        <w:rPr>
          <w:rFonts w:hint="eastAsia"/>
          <w:sz w:val="30"/>
          <w:szCs w:val="30"/>
        </w:rPr>
        <w:t>被告人龙绍辉及同案人钱某某等人的供述均证实，石碣电子公司和石碣工贸公司并没有经营实业，主要收入来源为石碣镇内的外资企业缴纳的管理费（包括管理费、协作费、综合管理费、治安联防费等），以及向相关的企业收取租金。可见，石碣电子公司和石碣工贸公司主要是代表石碣镇政府管理镇内的企业，提供相关的服务，收取管理费等费用，对镇内的相关企业具有管理的职能。综上，被告人龙绍辉是经石碣镇镇委聘任为石碣工贸公司的负责人，主</w:t>
      </w:r>
      <w:r>
        <w:rPr>
          <w:rFonts w:hint="eastAsia"/>
          <w:sz w:val="30"/>
          <w:szCs w:val="30"/>
        </w:rPr>
        <w:t>持该公司的全面工作，负责经营和管理该国有公司的资产，管理镇内的相关企业，属于在国有公司中从事公务的人员，根据司法解释的规定，符合贪污罪中的犯罪主体“国家工作人员”。至于被告人龙绍辉在石碣工贸公司任职期间，是否属于国家机关或事业单位的编制内人员，并不影响其行为的定性。</w:t>
      </w:r>
    </w:p>
    <w:p w:rsidR="009A2213" w:rsidRDefault="009A2213">
      <w:pPr>
        <w:spacing w:line="500" w:lineRule="atLeast"/>
        <w:ind w:firstLine="600"/>
        <w:divId w:val="291600009"/>
        <w:rPr>
          <w:rFonts w:hint="eastAsia"/>
          <w:sz w:val="30"/>
          <w:szCs w:val="30"/>
        </w:rPr>
      </w:pPr>
      <w:r>
        <w:rPr>
          <w:rFonts w:hint="eastAsia"/>
          <w:sz w:val="30"/>
          <w:szCs w:val="30"/>
        </w:rPr>
        <w:t>综上，涉案的石碣电子公司、石碣工贸公司均为国有公司，涉案的“小金库”资金属于国有资产，被告人龙绍辉系在国有公司中从事公务的人员，属于国家工作人员。</w:t>
      </w:r>
    </w:p>
    <w:p w:rsidR="009A2213" w:rsidRDefault="009A2213">
      <w:pPr>
        <w:spacing w:line="500" w:lineRule="atLeast"/>
        <w:ind w:firstLine="600"/>
        <w:divId w:val="572738479"/>
        <w:rPr>
          <w:rFonts w:hint="eastAsia"/>
          <w:sz w:val="30"/>
          <w:szCs w:val="30"/>
        </w:rPr>
      </w:pPr>
      <w:r>
        <w:rPr>
          <w:rFonts w:hint="eastAsia"/>
          <w:sz w:val="30"/>
          <w:szCs w:val="30"/>
        </w:rPr>
        <w:t>关于本案的罪名。被告人龙绍辉的行为，是构成贪污罪，还是私分国有资产罪，是控辩双方争议的焦点。经查：</w:t>
      </w:r>
      <w:r>
        <w:rPr>
          <w:rFonts w:hint="eastAsia"/>
          <w:sz w:val="30"/>
          <w:szCs w:val="30"/>
        </w:rPr>
        <w:t>1.</w:t>
      </w:r>
      <w:r>
        <w:rPr>
          <w:rFonts w:hint="eastAsia"/>
          <w:sz w:val="30"/>
          <w:szCs w:val="30"/>
        </w:rPr>
        <w:t>本案中涉案公司只有少数人参与了瓜分“小金库”资金。石碣镇经济发展总公司和石碣工贸公司的《经营管理合约》及龙绍辉、钱某某的供述可以证实，案发时石碣工贸公司有</w:t>
      </w:r>
      <w:r>
        <w:rPr>
          <w:rFonts w:hint="eastAsia"/>
          <w:sz w:val="30"/>
          <w:szCs w:val="30"/>
        </w:rPr>
        <w:t>16</w:t>
      </w:r>
      <w:r>
        <w:rPr>
          <w:rFonts w:hint="eastAsia"/>
          <w:sz w:val="30"/>
          <w:szCs w:val="30"/>
        </w:rPr>
        <w:t>名员工，其中编制内人员</w:t>
      </w:r>
      <w:r>
        <w:rPr>
          <w:rFonts w:hint="eastAsia"/>
          <w:sz w:val="30"/>
          <w:szCs w:val="30"/>
        </w:rPr>
        <w:t>12</w:t>
      </w:r>
      <w:r>
        <w:rPr>
          <w:rFonts w:hint="eastAsia"/>
          <w:sz w:val="30"/>
          <w:szCs w:val="30"/>
        </w:rPr>
        <w:t>人。但是，本案中只有龙绍辉等</w:t>
      </w:r>
      <w:r>
        <w:rPr>
          <w:rFonts w:hint="eastAsia"/>
          <w:sz w:val="30"/>
          <w:szCs w:val="30"/>
        </w:rPr>
        <w:t>6</w:t>
      </w:r>
      <w:r>
        <w:rPr>
          <w:rFonts w:hint="eastAsia"/>
          <w:sz w:val="30"/>
          <w:szCs w:val="30"/>
        </w:rPr>
        <w:t>人瓜分了涉案的“小金库”资金。</w:t>
      </w:r>
      <w:r>
        <w:rPr>
          <w:rFonts w:hint="eastAsia"/>
          <w:sz w:val="30"/>
          <w:szCs w:val="30"/>
        </w:rPr>
        <w:t>2.</w:t>
      </w:r>
      <w:r>
        <w:rPr>
          <w:rFonts w:hint="eastAsia"/>
          <w:sz w:val="30"/>
          <w:szCs w:val="30"/>
        </w:rPr>
        <w:t>涉案人员的组成来看，主要是涉案公司的中层以上管理人员及会计、出纳等关键岗位人员。其中，龙绍辉为总经理，梁某某、夏某某是副总经理，钱某某是出纳，叶某某是会计，刘某某是办公室主任。以上人员属于特殊利益群体或对作案有关键作用的人员。</w:t>
      </w:r>
      <w:r>
        <w:rPr>
          <w:rFonts w:hint="eastAsia"/>
          <w:sz w:val="30"/>
          <w:szCs w:val="30"/>
        </w:rPr>
        <w:t>3.</w:t>
      </w:r>
      <w:r>
        <w:rPr>
          <w:rFonts w:hint="eastAsia"/>
          <w:sz w:val="30"/>
          <w:szCs w:val="30"/>
        </w:rPr>
        <w:t>瓜分“小金库”资金的决策，仅限于涉案人员知道，在涉案公司不具有公开性。石碣工贸公司的其他员工，如梁某甲、梁某乙、单某某、李某某、黄某甲、何某某、秦某某等人的证言，均表示对龙绍辉等人瓜分“小金库”资金的情况不知情。</w:t>
      </w:r>
      <w:r>
        <w:rPr>
          <w:rFonts w:hint="eastAsia"/>
          <w:sz w:val="30"/>
          <w:szCs w:val="30"/>
        </w:rPr>
        <w:t>4.</w:t>
      </w:r>
      <w:r>
        <w:rPr>
          <w:rFonts w:hint="eastAsia"/>
          <w:sz w:val="30"/>
          <w:szCs w:val="30"/>
        </w:rPr>
        <w:t>与之前对“小金库”的使用不同，龙绍辉等人瓜分“小金库”资金，具有较为明显的侵吞的意图。之前“小金库”用于发放员工福利或接待支出等，具有为公司全体的大部分人员谋取利益的目的，但是龙绍辉等人瓜分“小金库”的行为则无法体现该目的。综上，本案中被告人龙绍辉等人瓜分“小金库”资金的行为，其性质属于少数人秘密侵吞国有公司的国有资产，应以</w:t>
      </w:r>
      <w:r>
        <w:rPr>
          <w:rFonts w:hint="eastAsia"/>
          <w:sz w:val="30"/>
          <w:szCs w:val="30"/>
        </w:rPr>
        <w:t>贪污罪追究被告人龙绍辉的刑事责任。瓜分“小金库”资金的决定，虽然得到了其他五名涉案人员的同意，但是未形成公开的决议，不具有公开性，且该资金只是在少数人中进行分配，并未分配给涉案公司的所有人或大部分人，不符合私分国有资产罪的犯罪构成。</w:t>
      </w:r>
    </w:p>
    <w:p w:rsidR="009A2213" w:rsidRDefault="009A2213">
      <w:pPr>
        <w:spacing w:line="500" w:lineRule="atLeast"/>
        <w:ind w:firstLine="600"/>
        <w:divId w:val="665789369"/>
        <w:rPr>
          <w:rFonts w:hint="eastAsia"/>
          <w:sz w:val="30"/>
          <w:szCs w:val="30"/>
        </w:rPr>
      </w:pPr>
      <w:r>
        <w:rPr>
          <w:rFonts w:hint="eastAsia"/>
          <w:sz w:val="30"/>
          <w:szCs w:val="30"/>
        </w:rPr>
        <w:t>综上，被告人龙绍辉辩护人麦荣福的第</w:t>
      </w:r>
      <w:r>
        <w:rPr>
          <w:rFonts w:hint="eastAsia"/>
          <w:sz w:val="30"/>
          <w:szCs w:val="30"/>
        </w:rPr>
        <w:t>1</w:t>
      </w:r>
      <w:r>
        <w:rPr>
          <w:rFonts w:hint="eastAsia"/>
          <w:sz w:val="30"/>
          <w:szCs w:val="30"/>
        </w:rPr>
        <w:t>点辩护意见，辩护人苑景会的第</w:t>
      </w:r>
      <w:r>
        <w:rPr>
          <w:rFonts w:hint="eastAsia"/>
          <w:sz w:val="30"/>
          <w:szCs w:val="30"/>
        </w:rPr>
        <w:t>1</w:t>
      </w:r>
      <w:r>
        <w:rPr>
          <w:rFonts w:hint="eastAsia"/>
          <w:sz w:val="30"/>
          <w:szCs w:val="30"/>
        </w:rPr>
        <w:t>点辩护意见，缺乏足够的事实和法律依据，本院不予采纳。辩护人苑景会的第</w:t>
      </w:r>
      <w:r>
        <w:rPr>
          <w:rFonts w:hint="eastAsia"/>
          <w:sz w:val="30"/>
          <w:szCs w:val="30"/>
        </w:rPr>
        <w:t>3</w:t>
      </w:r>
      <w:r>
        <w:rPr>
          <w:rFonts w:hint="eastAsia"/>
          <w:sz w:val="30"/>
          <w:szCs w:val="30"/>
        </w:rPr>
        <w:t>点辩护意见中，关于案发时对“小金库”的分配也是以领导层的福利费发放的辩护意见，将该次瓜分“小金库”的行为等同于之前违规发放福利的行为，与涉案公司少数人员利用职权共同侵吞“小金库”资金的事实不符，本院不予采纳。</w:t>
      </w:r>
    </w:p>
    <w:p w:rsidR="009A2213" w:rsidRDefault="009A2213">
      <w:pPr>
        <w:spacing w:line="500" w:lineRule="atLeast"/>
        <w:ind w:firstLine="600"/>
        <w:divId w:val="271133580"/>
        <w:rPr>
          <w:rFonts w:hint="eastAsia"/>
          <w:sz w:val="30"/>
          <w:szCs w:val="30"/>
        </w:rPr>
      </w:pPr>
      <w:r>
        <w:rPr>
          <w:rFonts w:hint="eastAsia"/>
          <w:sz w:val="30"/>
          <w:szCs w:val="30"/>
        </w:rPr>
        <w:t>关于本案的犯罪数额。经查，负责经手分钱的出纳钱某某的证言证实了包括龙绍辉在内的每个人分得的现金数额，且和叶某某、夏某某、梁某某、刘某某所承认的收钱数额一致。被告人龙绍辉在审查起诉阶段的供述也称，其从中分得了</w:t>
      </w:r>
      <w:r>
        <w:rPr>
          <w:rFonts w:hint="eastAsia"/>
          <w:sz w:val="30"/>
          <w:szCs w:val="30"/>
        </w:rPr>
        <w:t>7</w:t>
      </w:r>
      <w:r>
        <w:rPr>
          <w:rFonts w:hint="eastAsia"/>
          <w:sz w:val="30"/>
          <w:szCs w:val="30"/>
        </w:rPr>
        <w:t>或</w:t>
      </w:r>
      <w:r>
        <w:rPr>
          <w:rFonts w:hint="eastAsia"/>
          <w:sz w:val="30"/>
          <w:szCs w:val="30"/>
        </w:rPr>
        <w:t>8</w:t>
      </w:r>
      <w:r>
        <w:rPr>
          <w:rFonts w:hint="eastAsia"/>
          <w:sz w:val="30"/>
          <w:szCs w:val="30"/>
        </w:rPr>
        <w:t>万元。上述证据足以证实龙绍辉等人共私分了</w:t>
      </w:r>
      <w:r>
        <w:rPr>
          <w:rFonts w:hint="eastAsia"/>
          <w:sz w:val="30"/>
          <w:szCs w:val="30"/>
        </w:rPr>
        <w:t>22.93</w:t>
      </w:r>
      <w:r>
        <w:rPr>
          <w:rFonts w:hint="eastAsia"/>
          <w:sz w:val="30"/>
          <w:szCs w:val="30"/>
        </w:rPr>
        <w:t>万元现金，其中龙绍辉分得了</w:t>
      </w:r>
      <w:r>
        <w:rPr>
          <w:rFonts w:hint="eastAsia"/>
          <w:sz w:val="30"/>
          <w:szCs w:val="30"/>
        </w:rPr>
        <w:t>7</w:t>
      </w:r>
      <w:r>
        <w:rPr>
          <w:rFonts w:hint="eastAsia"/>
          <w:sz w:val="30"/>
          <w:szCs w:val="30"/>
        </w:rPr>
        <w:t>万元现金的事实。辩护人麦荣福的第</w:t>
      </w:r>
      <w:r>
        <w:rPr>
          <w:rFonts w:hint="eastAsia"/>
          <w:sz w:val="30"/>
          <w:szCs w:val="30"/>
        </w:rPr>
        <w:t>2</w:t>
      </w:r>
      <w:r>
        <w:rPr>
          <w:rFonts w:hint="eastAsia"/>
          <w:sz w:val="30"/>
          <w:szCs w:val="30"/>
        </w:rPr>
        <w:t>点辩护意见，本院不予采纳。</w:t>
      </w:r>
    </w:p>
    <w:p w:rsidR="009A2213" w:rsidRDefault="009A2213">
      <w:pPr>
        <w:spacing w:line="500" w:lineRule="atLeast"/>
        <w:ind w:firstLine="600"/>
        <w:divId w:val="966155897"/>
        <w:rPr>
          <w:rFonts w:hint="eastAsia"/>
          <w:sz w:val="30"/>
          <w:szCs w:val="30"/>
        </w:rPr>
      </w:pPr>
      <w:r>
        <w:rPr>
          <w:rFonts w:hint="eastAsia"/>
          <w:sz w:val="30"/>
          <w:szCs w:val="30"/>
        </w:rPr>
        <w:t>关于被告人龙绍辉在本案中的作用。在本案的犯罪中，被告人龙绍辉作为石碣工贸公司的负责人，提出犯意，确定赃款分配的方案，伙同他人侵吞国有资产，涉案金额超过</w:t>
      </w:r>
      <w:r>
        <w:rPr>
          <w:rFonts w:hint="eastAsia"/>
          <w:sz w:val="30"/>
          <w:szCs w:val="30"/>
        </w:rPr>
        <w:t>20</w:t>
      </w:r>
      <w:r>
        <w:rPr>
          <w:rFonts w:hint="eastAsia"/>
          <w:sz w:val="30"/>
          <w:szCs w:val="30"/>
        </w:rPr>
        <w:t>万元，其本人分赃的数额也是最多的。因此，被告人龙绍辉在犯罪中是组织者，起到主导作用，应对本案的犯罪事实承担全部责任。不能因为犯意得到了其他同案人的同意或默许，就免除被告人龙绍辉的相关法律责任，或者据此认为其在犯罪中所起的作用较小。辩护人苑景会的第</w:t>
      </w:r>
      <w:r>
        <w:rPr>
          <w:rFonts w:hint="eastAsia"/>
          <w:sz w:val="30"/>
          <w:szCs w:val="30"/>
        </w:rPr>
        <w:t>4</w:t>
      </w:r>
      <w:r>
        <w:rPr>
          <w:rFonts w:hint="eastAsia"/>
          <w:sz w:val="30"/>
          <w:szCs w:val="30"/>
        </w:rPr>
        <w:t>点辩护意见，本院不予采纳。</w:t>
      </w:r>
    </w:p>
    <w:p w:rsidR="009A2213" w:rsidRDefault="009A2213">
      <w:pPr>
        <w:spacing w:line="500" w:lineRule="atLeast"/>
        <w:ind w:firstLine="600"/>
        <w:divId w:val="1870029051"/>
        <w:rPr>
          <w:rFonts w:hint="eastAsia"/>
          <w:sz w:val="30"/>
          <w:szCs w:val="30"/>
        </w:rPr>
      </w:pPr>
      <w:r>
        <w:rPr>
          <w:rFonts w:hint="eastAsia"/>
          <w:sz w:val="30"/>
          <w:szCs w:val="30"/>
        </w:rPr>
        <w:t>关于本案的相关量刑问题。</w:t>
      </w:r>
      <w:r>
        <w:rPr>
          <w:rFonts w:hint="eastAsia"/>
          <w:sz w:val="30"/>
          <w:szCs w:val="30"/>
        </w:rPr>
        <w:t>1.</w:t>
      </w:r>
      <w:r>
        <w:rPr>
          <w:rFonts w:hint="eastAsia"/>
          <w:sz w:val="30"/>
          <w:szCs w:val="30"/>
        </w:rPr>
        <w:t>关于被告人龙绍辉的认罪态度。经查，被告人龙绍辉在侦查阶段初期未能如实供述罪行，侦查阶段后期及审查起诉阶段能够如实供述主要犯罪事实，当庭表示认罪，依法可以认定为归案后认罪态度较好。辩护人麦荣福的第</w:t>
      </w:r>
      <w:r>
        <w:rPr>
          <w:rFonts w:hint="eastAsia"/>
          <w:sz w:val="30"/>
          <w:szCs w:val="30"/>
        </w:rPr>
        <w:t>3</w:t>
      </w:r>
      <w:r>
        <w:rPr>
          <w:rFonts w:hint="eastAsia"/>
          <w:sz w:val="30"/>
          <w:szCs w:val="30"/>
        </w:rPr>
        <w:t>点辩护意见，本院予以采纳。</w:t>
      </w:r>
      <w:r>
        <w:rPr>
          <w:rFonts w:hint="eastAsia"/>
          <w:sz w:val="30"/>
          <w:szCs w:val="30"/>
        </w:rPr>
        <w:t>2.</w:t>
      </w:r>
      <w:r>
        <w:rPr>
          <w:rFonts w:hint="eastAsia"/>
          <w:sz w:val="30"/>
          <w:szCs w:val="30"/>
        </w:rPr>
        <w:t>本案是共同贪污案件，犯罪数额多达</w:t>
      </w:r>
      <w:r>
        <w:rPr>
          <w:rFonts w:hint="eastAsia"/>
          <w:sz w:val="30"/>
          <w:szCs w:val="30"/>
        </w:rPr>
        <w:t>22</w:t>
      </w:r>
      <w:r>
        <w:rPr>
          <w:rFonts w:hint="eastAsia"/>
          <w:sz w:val="30"/>
          <w:szCs w:val="30"/>
        </w:rPr>
        <w:t>万元。按照现行刑法的规定，个人贪污数额在十万元以上，没有情节特别严重情节的，处十年以上有期徒刑或者无期徒刑。被告人龙绍辉伙同他人共同贪污，应按照其组织的共同贪污的总数额</w:t>
      </w:r>
      <w:r>
        <w:rPr>
          <w:rFonts w:hint="eastAsia"/>
          <w:sz w:val="30"/>
          <w:szCs w:val="30"/>
        </w:rPr>
        <w:t>22</w:t>
      </w:r>
      <w:r>
        <w:rPr>
          <w:rFonts w:hint="eastAsia"/>
          <w:sz w:val="30"/>
          <w:szCs w:val="30"/>
        </w:rPr>
        <w:t>万多元，而不是以其个人分得的赃款</w:t>
      </w:r>
      <w:r>
        <w:rPr>
          <w:rFonts w:hint="eastAsia"/>
          <w:sz w:val="30"/>
          <w:szCs w:val="30"/>
        </w:rPr>
        <w:t>7</w:t>
      </w:r>
      <w:r>
        <w:rPr>
          <w:rFonts w:hint="eastAsia"/>
          <w:sz w:val="30"/>
          <w:szCs w:val="30"/>
        </w:rPr>
        <w:t>万元认定犯罪数额。因此，被告人龙绍辉的法定刑为十年以上有期徒刑。辩护人苑景会的第</w:t>
      </w:r>
      <w:r>
        <w:rPr>
          <w:rFonts w:hint="eastAsia"/>
          <w:sz w:val="30"/>
          <w:szCs w:val="30"/>
        </w:rPr>
        <w:t>6</w:t>
      </w:r>
      <w:r>
        <w:rPr>
          <w:rFonts w:hint="eastAsia"/>
          <w:sz w:val="30"/>
          <w:szCs w:val="30"/>
        </w:rPr>
        <w:t>点辩护意见，建议对被告人龙绍辉判处缓刑，明显缺乏法律依据，本院不予采纳。</w:t>
      </w:r>
      <w:r>
        <w:rPr>
          <w:rFonts w:hint="eastAsia"/>
          <w:sz w:val="30"/>
          <w:szCs w:val="30"/>
        </w:rPr>
        <w:t>3.</w:t>
      </w:r>
      <w:r>
        <w:rPr>
          <w:rFonts w:hint="eastAsia"/>
          <w:sz w:val="30"/>
          <w:szCs w:val="30"/>
        </w:rPr>
        <w:t>被告人龙绍辉本人及相关涉案人员已经全额退还涉案赃款，可以酌情对其从轻处罚。</w:t>
      </w:r>
    </w:p>
    <w:p w:rsidR="009A2213" w:rsidRDefault="009A2213">
      <w:pPr>
        <w:spacing w:line="500" w:lineRule="atLeast"/>
        <w:ind w:firstLine="600"/>
        <w:divId w:val="697851364"/>
        <w:rPr>
          <w:rFonts w:hint="eastAsia"/>
          <w:sz w:val="30"/>
          <w:szCs w:val="30"/>
        </w:rPr>
      </w:pPr>
      <w:r>
        <w:rPr>
          <w:rFonts w:hint="eastAsia"/>
          <w:sz w:val="30"/>
          <w:szCs w:val="30"/>
        </w:rPr>
        <w:t>二辩护人的其他辩护意见，基本属实，本院予以采纳。</w:t>
      </w:r>
    </w:p>
    <w:p w:rsidR="009A2213" w:rsidRDefault="009A2213">
      <w:pPr>
        <w:spacing w:line="500" w:lineRule="atLeast"/>
        <w:ind w:firstLine="600"/>
        <w:divId w:val="424614674"/>
        <w:rPr>
          <w:rFonts w:hint="eastAsia"/>
          <w:sz w:val="30"/>
          <w:szCs w:val="30"/>
        </w:rPr>
      </w:pPr>
      <w:r>
        <w:rPr>
          <w:rFonts w:hint="eastAsia"/>
          <w:sz w:val="30"/>
          <w:szCs w:val="30"/>
        </w:rPr>
        <w:t>依照《中华人民共和国刑法》第三百八十二条第一款、第三百八十三条第一款第（一）项、第六十七条第三款、第五十三条、第六十四条的规定，判决如下：</w:t>
      </w:r>
    </w:p>
    <w:p w:rsidR="009A2213" w:rsidRDefault="009A2213">
      <w:pPr>
        <w:spacing w:line="500" w:lineRule="atLeast"/>
        <w:ind w:firstLine="600"/>
        <w:divId w:val="506166724"/>
        <w:rPr>
          <w:rFonts w:hint="eastAsia"/>
          <w:sz w:val="30"/>
          <w:szCs w:val="30"/>
        </w:rPr>
      </w:pPr>
      <w:r>
        <w:rPr>
          <w:rFonts w:hint="eastAsia"/>
          <w:sz w:val="30"/>
          <w:szCs w:val="30"/>
        </w:rPr>
        <w:t>一、被告人龙绍辉犯贪污罪，判处有期徒刑十年，并处没收财产</w:t>
      </w:r>
      <w:r>
        <w:rPr>
          <w:rFonts w:hint="eastAsia"/>
          <w:sz w:val="30"/>
          <w:szCs w:val="30"/>
        </w:rPr>
        <w:t>3</w:t>
      </w:r>
      <w:r>
        <w:rPr>
          <w:rFonts w:hint="eastAsia"/>
          <w:sz w:val="30"/>
          <w:szCs w:val="30"/>
        </w:rPr>
        <w:t>万元。</w:t>
      </w:r>
    </w:p>
    <w:p w:rsidR="009A2213" w:rsidRDefault="009A2213">
      <w:pPr>
        <w:spacing w:line="500" w:lineRule="atLeast"/>
        <w:ind w:firstLine="600"/>
        <w:divId w:val="1865706912"/>
        <w:rPr>
          <w:rFonts w:hint="eastAsia"/>
          <w:sz w:val="30"/>
          <w:szCs w:val="30"/>
        </w:rPr>
      </w:pPr>
      <w:r>
        <w:rPr>
          <w:rFonts w:hint="eastAsia"/>
          <w:sz w:val="30"/>
          <w:szCs w:val="30"/>
        </w:rPr>
        <w:t>（刑期从判决执行之日起计算。判决执行以前先行羁押的，羁押一日折抵刑期一日，刑期自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日止。罚金自判决生效后一个月内一次性向本院交纳，上缴国库）。</w:t>
      </w:r>
    </w:p>
    <w:p w:rsidR="009A2213" w:rsidRDefault="009A2213">
      <w:pPr>
        <w:spacing w:line="500" w:lineRule="atLeast"/>
        <w:ind w:firstLine="600"/>
        <w:divId w:val="1207908260"/>
        <w:rPr>
          <w:rFonts w:hint="eastAsia"/>
          <w:sz w:val="30"/>
          <w:szCs w:val="30"/>
        </w:rPr>
      </w:pPr>
      <w:r>
        <w:rPr>
          <w:rFonts w:hint="eastAsia"/>
          <w:sz w:val="30"/>
          <w:szCs w:val="30"/>
        </w:rPr>
        <w:t>二、暂存在东莞市人民检察院的赃款</w:t>
      </w:r>
      <w:r>
        <w:rPr>
          <w:rFonts w:hint="eastAsia"/>
          <w:sz w:val="30"/>
          <w:szCs w:val="30"/>
        </w:rPr>
        <w:t>22.93</w:t>
      </w:r>
      <w:r>
        <w:rPr>
          <w:rFonts w:hint="eastAsia"/>
          <w:sz w:val="30"/>
          <w:szCs w:val="30"/>
        </w:rPr>
        <w:t>万，由东莞市人民检察院依法处理。</w:t>
      </w:r>
    </w:p>
    <w:p w:rsidR="009A2213" w:rsidRDefault="009A2213">
      <w:pPr>
        <w:spacing w:line="500" w:lineRule="atLeast"/>
        <w:ind w:firstLine="600"/>
        <w:divId w:val="583563607"/>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rsidR="009A2213" w:rsidRDefault="009A2213">
      <w:pPr>
        <w:spacing w:line="500" w:lineRule="atLeast"/>
        <w:jc w:val="right"/>
        <w:divId w:val="516817191"/>
        <w:rPr>
          <w:rFonts w:hint="eastAsia"/>
          <w:sz w:val="30"/>
          <w:szCs w:val="30"/>
        </w:rPr>
      </w:pPr>
      <w:r>
        <w:rPr>
          <w:rFonts w:hint="eastAsia"/>
          <w:sz w:val="30"/>
          <w:szCs w:val="30"/>
        </w:rPr>
        <w:t>审　判　长　　李年富</w:t>
      </w:r>
    </w:p>
    <w:p w:rsidR="009A2213" w:rsidRDefault="009A2213">
      <w:pPr>
        <w:spacing w:line="500" w:lineRule="atLeast"/>
        <w:jc w:val="right"/>
        <w:divId w:val="946814933"/>
        <w:rPr>
          <w:rFonts w:hint="eastAsia"/>
          <w:sz w:val="30"/>
          <w:szCs w:val="30"/>
        </w:rPr>
      </w:pPr>
      <w:r>
        <w:rPr>
          <w:rFonts w:hint="eastAsia"/>
          <w:sz w:val="30"/>
          <w:szCs w:val="30"/>
        </w:rPr>
        <w:t>人民陪审员　　梁筱婷</w:t>
      </w:r>
    </w:p>
    <w:p w:rsidR="009A2213" w:rsidRDefault="009A2213">
      <w:pPr>
        <w:spacing w:line="500" w:lineRule="atLeast"/>
        <w:jc w:val="right"/>
        <w:divId w:val="1712849802"/>
        <w:rPr>
          <w:rFonts w:hint="eastAsia"/>
          <w:sz w:val="30"/>
          <w:szCs w:val="30"/>
        </w:rPr>
      </w:pPr>
      <w:r>
        <w:rPr>
          <w:rFonts w:hint="eastAsia"/>
          <w:sz w:val="30"/>
          <w:szCs w:val="30"/>
        </w:rPr>
        <w:t>人民陪审员　　李海娣</w:t>
      </w:r>
    </w:p>
    <w:p w:rsidR="009A2213" w:rsidRDefault="009A2213">
      <w:pPr>
        <w:spacing w:line="500" w:lineRule="atLeast"/>
        <w:jc w:val="right"/>
        <w:divId w:val="1551765990"/>
        <w:rPr>
          <w:rFonts w:hint="eastAsia"/>
          <w:sz w:val="30"/>
          <w:szCs w:val="30"/>
        </w:rPr>
      </w:pPr>
      <w:r>
        <w:rPr>
          <w:rFonts w:hint="eastAsia"/>
          <w:sz w:val="30"/>
          <w:szCs w:val="30"/>
        </w:rPr>
        <w:t>二〇一五年六月十九日</w:t>
      </w:r>
    </w:p>
    <w:p w:rsidR="009A2213" w:rsidRDefault="009A2213">
      <w:pPr>
        <w:spacing w:line="500" w:lineRule="atLeast"/>
        <w:jc w:val="right"/>
        <w:divId w:val="958025716"/>
        <w:rPr>
          <w:rFonts w:hint="eastAsia"/>
          <w:sz w:val="30"/>
          <w:szCs w:val="30"/>
        </w:rPr>
      </w:pPr>
      <w:r>
        <w:rPr>
          <w:rFonts w:hint="eastAsia"/>
          <w:sz w:val="30"/>
          <w:szCs w:val="30"/>
        </w:rPr>
        <w:t>书　记　员　　苏月华</w:t>
      </w:r>
    </w:p>
    <w:p w:rsidR="009A2213" w:rsidRDefault="009A2213">
      <w:pPr>
        <w:spacing w:line="500" w:lineRule="atLeast"/>
        <w:ind w:firstLine="600"/>
        <w:divId w:val="1559509557"/>
        <w:rPr>
          <w:rFonts w:hint="eastAsia"/>
          <w:sz w:val="30"/>
          <w:szCs w:val="30"/>
        </w:rPr>
      </w:pPr>
      <w:r>
        <w:rPr>
          <w:rFonts w:hint="eastAsia"/>
          <w:sz w:val="30"/>
          <w:szCs w:val="30"/>
        </w:rPr>
        <w:t>第</w:t>
      </w:r>
      <w:r>
        <w:rPr>
          <w:rFonts w:hint="eastAsia"/>
          <w:sz w:val="30"/>
          <w:szCs w:val="30"/>
        </w:rPr>
        <w:t>10</w:t>
      </w:r>
      <w:r>
        <w:rPr>
          <w:rFonts w:hint="eastAsia"/>
          <w:sz w:val="30"/>
          <w:szCs w:val="30"/>
        </w:rPr>
        <w:t>页共</w:t>
      </w:r>
      <w:r>
        <w:rPr>
          <w:rFonts w:hint="eastAsia"/>
          <w:sz w:val="30"/>
          <w:szCs w:val="30"/>
        </w:rPr>
        <w:t>10</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2213" w:rsidRDefault="009A2213" w:rsidP="009A2213">
      <w:pPr>
        <w:rPr>
          <w:rFonts w:hint="eastAsia"/>
        </w:rPr>
      </w:pPr>
      <w:r>
        <w:separator/>
      </w:r>
    </w:p>
  </w:endnote>
  <w:endnote w:type="continuationSeparator" w:id="0">
    <w:p w:rsidR="009A2213" w:rsidRDefault="009A2213" w:rsidP="009A22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2213" w:rsidRDefault="009A2213" w:rsidP="009A2213">
      <w:pPr>
        <w:rPr>
          <w:rFonts w:hint="eastAsia"/>
        </w:rPr>
      </w:pPr>
      <w:r>
        <w:separator/>
      </w:r>
    </w:p>
  </w:footnote>
  <w:footnote w:type="continuationSeparator" w:id="0">
    <w:p w:rsidR="009A2213" w:rsidRDefault="009A2213" w:rsidP="009A221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2213"/>
    <w:rsid w:val="002A6721"/>
    <w:rsid w:val="009A22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A2213"/>
    <w:pPr>
      <w:tabs>
        <w:tab w:val="center" w:pos="4153"/>
        <w:tab w:val="right" w:pos="8306"/>
      </w:tabs>
      <w:snapToGrid w:val="0"/>
      <w:jc w:val="center"/>
    </w:pPr>
    <w:rPr>
      <w:sz w:val="18"/>
      <w:szCs w:val="18"/>
    </w:rPr>
  </w:style>
  <w:style w:type="character" w:customStyle="1" w:styleId="a4">
    <w:name w:val="页眉 字符"/>
    <w:basedOn w:val="a0"/>
    <w:link w:val="a3"/>
    <w:uiPriority w:val="99"/>
    <w:rsid w:val="009A2213"/>
    <w:rPr>
      <w:rFonts w:ascii="宋体" w:eastAsia="宋体" w:hAnsi="宋体" w:cs="宋体"/>
      <w:sz w:val="18"/>
      <w:szCs w:val="18"/>
    </w:rPr>
  </w:style>
  <w:style w:type="paragraph" w:styleId="a5">
    <w:name w:val="footer"/>
    <w:basedOn w:val="a"/>
    <w:link w:val="a6"/>
    <w:uiPriority w:val="99"/>
    <w:unhideWhenUsed/>
    <w:rsid w:val="009A2213"/>
    <w:pPr>
      <w:tabs>
        <w:tab w:val="center" w:pos="4153"/>
        <w:tab w:val="right" w:pos="8306"/>
      </w:tabs>
      <w:snapToGrid w:val="0"/>
    </w:pPr>
    <w:rPr>
      <w:sz w:val="18"/>
      <w:szCs w:val="18"/>
    </w:rPr>
  </w:style>
  <w:style w:type="character" w:customStyle="1" w:styleId="a6">
    <w:name w:val="页脚 字符"/>
    <w:basedOn w:val="a0"/>
    <w:link w:val="a5"/>
    <w:uiPriority w:val="99"/>
    <w:rsid w:val="009A221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36987">
      <w:marLeft w:val="0"/>
      <w:marRight w:val="0"/>
      <w:marTop w:val="10"/>
      <w:marBottom w:val="10"/>
      <w:divBdr>
        <w:top w:val="none" w:sz="0" w:space="0" w:color="auto"/>
        <w:left w:val="none" w:sz="0" w:space="0" w:color="auto"/>
        <w:bottom w:val="none" w:sz="0" w:space="0" w:color="auto"/>
        <w:right w:val="none" w:sz="0" w:space="0" w:color="auto"/>
      </w:divBdr>
    </w:div>
    <w:div w:id="147327496">
      <w:marLeft w:val="0"/>
      <w:marRight w:val="0"/>
      <w:marTop w:val="10"/>
      <w:marBottom w:val="10"/>
      <w:divBdr>
        <w:top w:val="none" w:sz="0" w:space="0" w:color="auto"/>
        <w:left w:val="none" w:sz="0" w:space="0" w:color="auto"/>
        <w:bottom w:val="none" w:sz="0" w:space="0" w:color="auto"/>
        <w:right w:val="none" w:sz="0" w:space="0" w:color="auto"/>
      </w:divBdr>
    </w:div>
    <w:div w:id="271133580">
      <w:marLeft w:val="0"/>
      <w:marRight w:val="0"/>
      <w:marTop w:val="10"/>
      <w:marBottom w:val="10"/>
      <w:divBdr>
        <w:top w:val="none" w:sz="0" w:space="0" w:color="auto"/>
        <w:left w:val="none" w:sz="0" w:space="0" w:color="auto"/>
        <w:bottom w:val="none" w:sz="0" w:space="0" w:color="auto"/>
        <w:right w:val="none" w:sz="0" w:space="0" w:color="auto"/>
      </w:divBdr>
    </w:div>
    <w:div w:id="291600009">
      <w:marLeft w:val="0"/>
      <w:marRight w:val="0"/>
      <w:marTop w:val="10"/>
      <w:marBottom w:val="10"/>
      <w:divBdr>
        <w:top w:val="none" w:sz="0" w:space="0" w:color="auto"/>
        <w:left w:val="none" w:sz="0" w:space="0" w:color="auto"/>
        <w:bottom w:val="none" w:sz="0" w:space="0" w:color="auto"/>
        <w:right w:val="none" w:sz="0" w:space="0" w:color="auto"/>
      </w:divBdr>
    </w:div>
    <w:div w:id="399255046">
      <w:marLeft w:val="0"/>
      <w:marRight w:val="0"/>
      <w:marTop w:val="10"/>
      <w:marBottom w:val="10"/>
      <w:divBdr>
        <w:top w:val="none" w:sz="0" w:space="0" w:color="auto"/>
        <w:left w:val="none" w:sz="0" w:space="0" w:color="auto"/>
        <w:bottom w:val="none" w:sz="0" w:space="0" w:color="auto"/>
        <w:right w:val="none" w:sz="0" w:space="0" w:color="auto"/>
      </w:divBdr>
    </w:div>
    <w:div w:id="424614674">
      <w:marLeft w:val="0"/>
      <w:marRight w:val="0"/>
      <w:marTop w:val="10"/>
      <w:marBottom w:val="10"/>
      <w:divBdr>
        <w:top w:val="none" w:sz="0" w:space="0" w:color="auto"/>
        <w:left w:val="none" w:sz="0" w:space="0" w:color="auto"/>
        <w:bottom w:val="none" w:sz="0" w:space="0" w:color="auto"/>
        <w:right w:val="none" w:sz="0" w:space="0" w:color="auto"/>
      </w:divBdr>
    </w:div>
    <w:div w:id="489904810">
      <w:marLeft w:val="0"/>
      <w:marRight w:val="0"/>
      <w:marTop w:val="10"/>
      <w:marBottom w:val="10"/>
      <w:divBdr>
        <w:top w:val="none" w:sz="0" w:space="0" w:color="auto"/>
        <w:left w:val="none" w:sz="0" w:space="0" w:color="auto"/>
        <w:bottom w:val="none" w:sz="0" w:space="0" w:color="auto"/>
        <w:right w:val="none" w:sz="0" w:space="0" w:color="auto"/>
      </w:divBdr>
    </w:div>
    <w:div w:id="506166724">
      <w:marLeft w:val="0"/>
      <w:marRight w:val="0"/>
      <w:marTop w:val="10"/>
      <w:marBottom w:val="10"/>
      <w:divBdr>
        <w:top w:val="none" w:sz="0" w:space="0" w:color="auto"/>
        <w:left w:val="none" w:sz="0" w:space="0" w:color="auto"/>
        <w:bottom w:val="none" w:sz="0" w:space="0" w:color="auto"/>
        <w:right w:val="none" w:sz="0" w:space="0" w:color="auto"/>
      </w:divBdr>
    </w:div>
    <w:div w:id="516817191">
      <w:marLeft w:val="0"/>
      <w:marRight w:val="720"/>
      <w:marTop w:val="10"/>
      <w:marBottom w:val="10"/>
      <w:divBdr>
        <w:top w:val="none" w:sz="0" w:space="0" w:color="auto"/>
        <w:left w:val="none" w:sz="0" w:space="0" w:color="auto"/>
        <w:bottom w:val="none" w:sz="0" w:space="0" w:color="auto"/>
        <w:right w:val="none" w:sz="0" w:space="0" w:color="auto"/>
      </w:divBdr>
    </w:div>
    <w:div w:id="567035559">
      <w:marLeft w:val="0"/>
      <w:marRight w:val="0"/>
      <w:marTop w:val="10"/>
      <w:marBottom w:val="10"/>
      <w:divBdr>
        <w:top w:val="none" w:sz="0" w:space="0" w:color="auto"/>
        <w:left w:val="none" w:sz="0" w:space="0" w:color="auto"/>
        <w:bottom w:val="none" w:sz="0" w:space="0" w:color="auto"/>
        <w:right w:val="none" w:sz="0" w:space="0" w:color="auto"/>
      </w:divBdr>
    </w:div>
    <w:div w:id="572738479">
      <w:marLeft w:val="0"/>
      <w:marRight w:val="0"/>
      <w:marTop w:val="10"/>
      <w:marBottom w:val="10"/>
      <w:divBdr>
        <w:top w:val="none" w:sz="0" w:space="0" w:color="auto"/>
        <w:left w:val="none" w:sz="0" w:space="0" w:color="auto"/>
        <w:bottom w:val="none" w:sz="0" w:space="0" w:color="auto"/>
        <w:right w:val="none" w:sz="0" w:space="0" w:color="auto"/>
      </w:divBdr>
    </w:div>
    <w:div w:id="583563607">
      <w:marLeft w:val="0"/>
      <w:marRight w:val="0"/>
      <w:marTop w:val="10"/>
      <w:marBottom w:val="10"/>
      <w:divBdr>
        <w:top w:val="none" w:sz="0" w:space="0" w:color="auto"/>
        <w:left w:val="none" w:sz="0" w:space="0" w:color="auto"/>
        <w:bottom w:val="none" w:sz="0" w:space="0" w:color="auto"/>
        <w:right w:val="none" w:sz="0" w:space="0" w:color="auto"/>
      </w:divBdr>
    </w:div>
    <w:div w:id="665789369">
      <w:marLeft w:val="0"/>
      <w:marRight w:val="0"/>
      <w:marTop w:val="10"/>
      <w:marBottom w:val="10"/>
      <w:divBdr>
        <w:top w:val="none" w:sz="0" w:space="0" w:color="auto"/>
        <w:left w:val="none" w:sz="0" w:space="0" w:color="auto"/>
        <w:bottom w:val="none" w:sz="0" w:space="0" w:color="auto"/>
        <w:right w:val="none" w:sz="0" w:space="0" w:color="auto"/>
      </w:divBdr>
    </w:div>
    <w:div w:id="697851364">
      <w:marLeft w:val="0"/>
      <w:marRight w:val="0"/>
      <w:marTop w:val="10"/>
      <w:marBottom w:val="10"/>
      <w:divBdr>
        <w:top w:val="none" w:sz="0" w:space="0" w:color="auto"/>
        <w:left w:val="none" w:sz="0" w:space="0" w:color="auto"/>
        <w:bottom w:val="none" w:sz="0" w:space="0" w:color="auto"/>
        <w:right w:val="none" w:sz="0" w:space="0" w:color="auto"/>
      </w:divBdr>
    </w:div>
    <w:div w:id="720984901">
      <w:marLeft w:val="0"/>
      <w:marRight w:val="0"/>
      <w:marTop w:val="10"/>
      <w:marBottom w:val="10"/>
      <w:divBdr>
        <w:top w:val="none" w:sz="0" w:space="0" w:color="auto"/>
        <w:left w:val="none" w:sz="0" w:space="0" w:color="auto"/>
        <w:bottom w:val="none" w:sz="0" w:space="0" w:color="auto"/>
        <w:right w:val="none" w:sz="0" w:space="0" w:color="auto"/>
      </w:divBdr>
    </w:div>
    <w:div w:id="732311830">
      <w:marLeft w:val="0"/>
      <w:marRight w:val="0"/>
      <w:marTop w:val="10"/>
      <w:marBottom w:val="10"/>
      <w:divBdr>
        <w:top w:val="none" w:sz="0" w:space="0" w:color="auto"/>
        <w:left w:val="none" w:sz="0" w:space="0" w:color="auto"/>
        <w:bottom w:val="none" w:sz="0" w:space="0" w:color="auto"/>
        <w:right w:val="none" w:sz="0" w:space="0" w:color="auto"/>
      </w:divBdr>
    </w:div>
    <w:div w:id="946814933">
      <w:marLeft w:val="0"/>
      <w:marRight w:val="720"/>
      <w:marTop w:val="10"/>
      <w:marBottom w:val="10"/>
      <w:divBdr>
        <w:top w:val="none" w:sz="0" w:space="0" w:color="auto"/>
        <w:left w:val="none" w:sz="0" w:space="0" w:color="auto"/>
        <w:bottom w:val="none" w:sz="0" w:space="0" w:color="auto"/>
        <w:right w:val="none" w:sz="0" w:space="0" w:color="auto"/>
      </w:divBdr>
    </w:div>
    <w:div w:id="958025716">
      <w:marLeft w:val="0"/>
      <w:marRight w:val="720"/>
      <w:marTop w:val="10"/>
      <w:marBottom w:val="10"/>
      <w:divBdr>
        <w:top w:val="none" w:sz="0" w:space="0" w:color="auto"/>
        <w:left w:val="none" w:sz="0" w:space="0" w:color="auto"/>
        <w:bottom w:val="none" w:sz="0" w:space="0" w:color="auto"/>
        <w:right w:val="none" w:sz="0" w:space="0" w:color="auto"/>
      </w:divBdr>
    </w:div>
    <w:div w:id="966155897">
      <w:marLeft w:val="0"/>
      <w:marRight w:val="0"/>
      <w:marTop w:val="10"/>
      <w:marBottom w:val="10"/>
      <w:divBdr>
        <w:top w:val="none" w:sz="0" w:space="0" w:color="auto"/>
        <w:left w:val="none" w:sz="0" w:space="0" w:color="auto"/>
        <w:bottom w:val="none" w:sz="0" w:space="0" w:color="auto"/>
        <w:right w:val="none" w:sz="0" w:space="0" w:color="auto"/>
      </w:divBdr>
    </w:div>
    <w:div w:id="1047952906">
      <w:marLeft w:val="0"/>
      <w:marRight w:val="0"/>
      <w:marTop w:val="10"/>
      <w:marBottom w:val="10"/>
      <w:divBdr>
        <w:top w:val="none" w:sz="0" w:space="0" w:color="auto"/>
        <w:left w:val="none" w:sz="0" w:space="0" w:color="auto"/>
        <w:bottom w:val="none" w:sz="0" w:space="0" w:color="auto"/>
        <w:right w:val="none" w:sz="0" w:space="0" w:color="auto"/>
      </w:divBdr>
    </w:div>
    <w:div w:id="1084495445">
      <w:marLeft w:val="0"/>
      <w:marRight w:val="0"/>
      <w:marTop w:val="10"/>
      <w:marBottom w:val="10"/>
      <w:divBdr>
        <w:top w:val="none" w:sz="0" w:space="0" w:color="auto"/>
        <w:left w:val="none" w:sz="0" w:space="0" w:color="auto"/>
        <w:bottom w:val="none" w:sz="0" w:space="0" w:color="auto"/>
        <w:right w:val="none" w:sz="0" w:space="0" w:color="auto"/>
      </w:divBdr>
    </w:div>
    <w:div w:id="1154299715">
      <w:marLeft w:val="0"/>
      <w:marRight w:val="0"/>
      <w:marTop w:val="10"/>
      <w:marBottom w:val="10"/>
      <w:divBdr>
        <w:top w:val="none" w:sz="0" w:space="0" w:color="auto"/>
        <w:left w:val="none" w:sz="0" w:space="0" w:color="auto"/>
        <w:bottom w:val="none" w:sz="0" w:space="0" w:color="auto"/>
        <w:right w:val="none" w:sz="0" w:space="0" w:color="auto"/>
      </w:divBdr>
    </w:div>
    <w:div w:id="1207908260">
      <w:marLeft w:val="0"/>
      <w:marRight w:val="0"/>
      <w:marTop w:val="10"/>
      <w:marBottom w:val="10"/>
      <w:divBdr>
        <w:top w:val="none" w:sz="0" w:space="0" w:color="auto"/>
        <w:left w:val="none" w:sz="0" w:space="0" w:color="auto"/>
        <w:bottom w:val="none" w:sz="0" w:space="0" w:color="auto"/>
        <w:right w:val="none" w:sz="0" w:space="0" w:color="auto"/>
      </w:divBdr>
    </w:div>
    <w:div w:id="1214198603">
      <w:marLeft w:val="0"/>
      <w:marRight w:val="0"/>
      <w:marTop w:val="10"/>
      <w:marBottom w:val="10"/>
      <w:divBdr>
        <w:top w:val="none" w:sz="0" w:space="0" w:color="auto"/>
        <w:left w:val="none" w:sz="0" w:space="0" w:color="auto"/>
        <w:bottom w:val="none" w:sz="0" w:space="0" w:color="auto"/>
        <w:right w:val="none" w:sz="0" w:space="0" w:color="auto"/>
      </w:divBdr>
    </w:div>
    <w:div w:id="1351293947">
      <w:marLeft w:val="0"/>
      <w:marRight w:val="0"/>
      <w:marTop w:val="10"/>
      <w:marBottom w:val="10"/>
      <w:divBdr>
        <w:top w:val="none" w:sz="0" w:space="0" w:color="auto"/>
        <w:left w:val="none" w:sz="0" w:space="0" w:color="auto"/>
        <w:bottom w:val="none" w:sz="0" w:space="0" w:color="auto"/>
        <w:right w:val="none" w:sz="0" w:space="0" w:color="auto"/>
      </w:divBdr>
    </w:div>
    <w:div w:id="1376275477">
      <w:marLeft w:val="0"/>
      <w:marRight w:val="0"/>
      <w:marTop w:val="10"/>
      <w:marBottom w:val="10"/>
      <w:divBdr>
        <w:top w:val="none" w:sz="0" w:space="0" w:color="auto"/>
        <w:left w:val="none" w:sz="0" w:space="0" w:color="auto"/>
        <w:bottom w:val="none" w:sz="0" w:space="0" w:color="auto"/>
        <w:right w:val="none" w:sz="0" w:space="0" w:color="auto"/>
      </w:divBdr>
    </w:div>
    <w:div w:id="1438481674">
      <w:marLeft w:val="0"/>
      <w:marRight w:val="0"/>
      <w:marTop w:val="10"/>
      <w:marBottom w:val="10"/>
      <w:divBdr>
        <w:top w:val="none" w:sz="0" w:space="0" w:color="auto"/>
        <w:left w:val="none" w:sz="0" w:space="0" w:color="auto"/>
        <w:bottom w:val="none" w:sz="0" w:space="0" w:color="auto"/>
        <w:right w:val="none" w:sz="0" w:space="0" w:color="auto"/>
      </w:divBdr>
    </w:div>
    <w:div w:id="1442653086">
      <w:marLeft w:val="0"/>
      <w:marRight w:val="0"/>
      <w:marTop w:val="10"/>
      <w:marBottom w:val="10"/>
      <w:divBdr>
        <w:top w:val="none" w:sz="0" w:space="0" w:color="auto"/>
        <w:left w:val="none" w:sz="0" w:space="0" w:color="auto"/>
        <w:bottom w:val="none" w:sz="0" w:space="0" w:color="auto"/>
        <w:right w:val="none" w:sz="0" w:space="0" w:color="auto"/>
      </w:divBdr>
    </w:div>
    <w:div w:id="1469977648">
      <w:marLeft w:val="0"/>
      <w:marRight w:val="0"/>
      <w:marTop w:val="10"/>
      <w:marBottom w:val="10"/>
      <w:divBdr>
        <w:top w:val="none" w:sz="0" w:space="0" w:color="auto"/>
        <w:left w:val="none" w:sz="0" w:space="0" w:color="auto"/>
        <w:bottom w:val="none" w:sz="0" w:space="0" w:color="auto"/>
        <w:right w:val="none" w:sz="0" w:space="0" w:color="auto"/>
      </w:divBdr>
    </w:div>
    <w:div w:id="1473330050">
      <w:marLeft w:val="0"/>
      <w:marRight w:val="0"/>
      <w:marTop w:val="10"/>
      <w:marBottom w:val="10"/>
      <w:divBdr>
        <w:top w:val="none" w:sz="0" w:space="0" w:color="auto"/>
        <w:left w:val="none" w:sz="0" w:space="0" w:color="auto"/>
        <w:bottom w:val="none" w:sz="0" w:space="0" w:color="auto"/>
        <w:right w:val="none" w:sz="0" w:space="0" w:color="auto"/>
      </w:divBdr>
    </w:div>
    <w:div w:id="1551765990">
      <w:marLeft w:val="0"/>
      <w:marRight w:val="720"/>
      <w:marTop w:val="10"/>
      <w:marBottom w:val="10"/>
      <w:divBdr>
        <w:top w:val="none" w:sz="0" w:space="0" w:color="auto"/>
        <w:left w:val="none" w:sz="0" w:space="0" w:color="auto"/>
        <w:bottom w:val="none" w:sz="0" w:space="0" w:color="auto"/>
        <w:right w:val="none" w:sz="0" w:space="0" w:color="auto"/>
      </w:divBdr>
    </w:div>
    <w:div w:id="1559509557">
      <w:marLeft w:val="0"/>
      <w:marRight w:val="0"/>
      <w:marTop w:val="10"/>
      <w:marBottom w:val="10"/>
      <w:divBdr>
        <w:top w:val="none" w:sz="0" w:space="0" w:color="auto"/>
        <w:left w:val="none" w:sz="0" w:space="0" w:color="auto"/>
        <w:bottom w:val="none" w:sz="0" w:space="0" w:color="auto"/>
        <w:right w:val="none" w:sz="0" w:space="0" w:color="auto"/>
      </w:divBdr>
    </w:div>
    <w:div w:id="1560479417">
      <w:marLeft w:val="0"/>
      <w:marRight w:val="0"/>
      <w:marTop w:val="10"/>
      <w:marBottom w:val="10"/>
      <w:divBdr>
        <w:top w:val="none" w:sz="0" w:space="0" w:color="auto"/>
        <w:left w:val="none" w:sz="0" w:space="0" w:color="auto"/>
        <w:bottom w:val="none" w:sz="0" w:space="0" w:color="auto"/>
        <w:right w:val="none" w:sz="0" w:space="0" w:color="auto"/>
      </w:divBdr>
    </w:div>
    <w:div w:id="1601527219">
      <w:marLeft w:val="0"/>
      <w:marRight w:val="0"/>
      <w:marTop w:val="10"/>
      <w:marBottom w:val="10"/>
      <w:divBdr>
        <w:top w:val="none" w:sz="0" w:space="0" w:color="auto"/>
        <w:left w:val="none" w:sz="0" w:space="0" w:color="auto"/>
        <w:bottom w:val="none" w:sz="0" w:space="0" w:color="auto"/>
        <w:right w:val="none" w:sz="0" w:space="0" w:color="auto"/>
      </w:divBdr>
    </w:div>
    <w:div w:id="1654023868">
      <w:marLeft w:val="0"/>
      <w:marRight w:val="0"/>
      <w:marTop w:val="10"/>
      <w:marBottom w:val="10"/>
      <w:divBdr>
        <w:top w:val="none" w:sz="0" w:space="0" w:color="auto"/>
        <w:left w:val="none" w:sz="0" w:space="0" w:color="auto"/>
        <w:bottom w:val="none" w:sz="0" w:space="0" w:color="auto"/>
        <w:right w:val="none" w:sz="0" w:space="0" w:color="auto"/>
      </w:divBdr>
    </w:div>
    <w:div w:id="1659573531">
      <w:marLeft w:val="0"/>
      <w:marRight w:val="0"/>
      <w:marTop w:val="10"/>
      <w:marBottom w:val="10"/>
      <w:divBdr>
        <w:top w:val="none" w:sz="0" w:space="0" w:color="auto"/>
        <w:left w:val="none" w:sz="0" w:space="0" w:color="auto"/>
        <w:bottom w:val="none" w:sz="0" w:space="0" w:color="auto"/>
        <w:right w:val="none" w:sz="0" w:space="0" w:color="auto"/>
      </w:divBdr>
    </w:div>
    <w:div w:id="1712849802">
      <w:marLeft w:val="0"/>
      <w:marRight w:val="720"/>
      <w:marTop w:val="10"/>
      <w:marBottom w:val="10"/>
      <w:divBdr>
        <w:top w:val="none" w:sz="0" w:space="0" w:color="auto"/>
        <w:left w:val="none" w:sz="0" w:space="0" w:color="auto"/>
        <w:bottom w:val="none" w:sz="0" w:space="0" w:color="auto"/>
        <w:right w:val="none" w:sz="0" w:space="0" w:color="auto"/>
      </w:divBdr>
    </w:div>
    <w:div w:id="1865706912">
      <w:marLeft w:val="0"/>
      <w:marRight w:val="0"/>
      <w:marTop w:val="10"/>
      <w:marBottom w:val="10"/>
      <w:divBdr>
        <w:top w:val="none" w:sz="0" w:space="0" w:color="auto"/>
        <w:left w:val="none" w:sz="0" w:space="0" w:color="auto"/>
        <w:bottom w:val="none" w:sz="0" w:space="0" w:color="auto"/>
        <w:right w:val="none" w:sz="0" w:space="0" w:color="auto"/>
      </w:divBdr>
    </w:div>
    <w:div w:id="1870029051">
      <w:marLeft w:val="0"/>
      <w:marRight w:val="0"/>
      <w:marTop w:val="10"/>
      <w:marBottom w:val="10"/>
      <w:divBdr>
        <w:top w:val="none" w:sz="0" w:space="0" w:color="auto"/>
        <w:left w:val="none" w:sz="0" w:space="0" w:color="auto"/>
        <w:bottom w:val="none" w:sz="0" w:space="0" w:color="auto"/>
        <w:right w:val="none" w:sz="0" w:space="0" w:color="auto"/>
      </w:divBdr>
    </w:div>
    <w:div w:id="1886792749">
      <w:marLeft w:val="0"/>
      <w:marRight w:val="0"/>
      <w:marTop w:val="10"/>
      <w:marBottom w:val="10"/>
      <w:divBdr>
        <w:top w:val="none" w:sz="0" w:space="0" w:color="auto"/>
        <w:left w:val="none" w:sz="0" w:space="0" w:color="auto"/>
        <w:bottom w:val="none" w:sz="0" w:space="0" w:color="auto"/>
        <w:right w:val="none" w:sz="0" w:space="0" w:color="auto"/>
      </w:divBdr>
    </w:div>
    <w:div w:id="1903829779">
      <w:marLeft w:val="0"/>
      <w:marRight w:val="0"/>
      <w:marTop w:val="10"/>
      <w:marBottom w:val="10"/>
      <w:divBdr>
        <w:top w:val="none" w:sz="0" w:space="0" w:color="auto"/>
        <w:left w:val="none" w:sz="0" w:space="0" w:color="auto"/>
        <w:bottom w:val="none" w:sz="0" w:space="0" w:color="auto"/>
        <w:right w:val="none" w:sz="0" w:space="0" w:color="auto"/>
      </w:divBdr>
    </w:div>
    <w:div w:id="1915166077">
      <w:marLeft w:val="0"/>
      <w:marRight w:val="0"/>
      <w:marTop w:val="10"/>
      <w:marBottom w:val="10"/>
      <w:divBdr>
        <w:top w:val="none" w:sz="0" w:space="0" w:color="auto"/>
        <w:left w:val="none" w:sz="0" w:space="0" w:color="auto"/>
        <w:bottom w:val="none" w:sz="0" w:space="0" w:color="auto"/>
        <w:right w:val="none" w:sz="0" w:space="0" w:color="auto"/>
      </w:divBdr>
    </w:div>
    <w:div w:id="2030325326">
      <w:marLeft w:val="0"/>
      <w:marRight w:val="0"/>
      <w:marTop w:val="10"/>
      <w:marBottom w:val="10"/>
      <w:divBdr>
        <w:top w:val="none" w:sz="0" w:space="0" w:color="auto"/>
        <w:left w:val="none" w:sz="0" w:space="0" w:color="auto"/>
        <w:bottom w:val="none" w:sz="0" w:space="0" w:color="auto"/>
        <w:right w:val="none" w:sz="0" w:space="0" w:color="auto"/>
      </w:divBdr>
    </w:div>
    <w:div w:id="21181380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1027</Words>
  <Characters>5854</Characters>
  <Application>Microsoft Office Word</Application>
  <DocSecurity>0</DocSecurity>
  <Lines>48</Lines>
  <Paragraphs>13</Paragraphs>
  <ScaleCrop>false</ScaleCrop>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