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B7121" w14:textId="77777777" w:rsidR="00012D12" w:rsidRDefault="00012D12">
      <w:pPr>
        <w:spacing w:line="500" w:lineRule="atLeast"/>
        <w:jc w:val="center"/>
        <w:divId w:val="778334287"/>
        <w:rPr>
          <w:rFonts w:ascii="黑体" w:eastAsia="黑体" w:hAnsi="黑体"/>
          <w:sz w:val="36"/>
          <w:szCs w:val="36"/>
        </w:rPr>
      </w:pPr>
      <w:r>
        <w:rPr>
          <w:rFonts w:ascii="黑体" w:eastAsia="黑体" w:hAnsi="黑体" w:hint="eastAsia"/>
          <w:sz w:val="36"/>
          <w:szCs w:val="36"/>
        </w:rPr>
        <w:t>广东省佛山市三水区人民法院</w:t>
      </w:r>
    </w:p>
    <w:p w14:paraId="43CFEDA8" w14:textId="77777777" w:rsidR="00012D12" w:rsidRDefault="00012D12">
      <w:pPr>
        <w:spacing w:line="500" w:lineRule="atLeast"/>
        <w:jc w:val="center"/>
        <w:divId w:val="6120533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DD2AD0" w14:textId="77777777" w:rsidR="00012D12" w:rsidRDefault="00012D12">
      <w:pPr>
        <w:spacing w:line="500" w:lineRule="atLeast"/>
        <w:jc w:val="right"/>
        <w:divId w:val="114646124"/>
        <w:rPr>
          <w:rFonts w:hint="eastAsia"/>
          <w:sz w:val="30"/>
          <w:szCs w:val="30"/>
        </w:rPr>
      </w:pPr>
      <w:r>
        <w:rPr>
          <w:rFonts w:hint="eastAsia"/>
          <w:sz w:val="30"/>
          <w:szCs w:val="30"/>
        </w:rPr>
        <w:t>（</w:t>
      </w:r>
      <w:r>
        <w:rPr>
          <w:rFonts w:hint="eastAsia"/>
          <w:sz w:val="30"/>
          <w:szCs w:val="30"/>
        </w:rPr>
        <w:t>2013</w:t>
      </w:r>
      <w:r>
        <w:rPr>
          <w:rFonts w:hint="eastAsia"/>
          <w:sz w:val="30"/>
          <w:szCs w:val="30"/>
        </w:rPr>
        <w:t>）佛三法刑初字第</w:t>
      </w:r>
      <w:r>
        <w:rPr>
          <w:rFonts w:hint="eastAsia"/>
          <w:sz w:val="30"/>
          <w:szCs w:val="30"/>
        </w:rPr>
        <w:t>562</w:t>
      </w:r>
      <w:r>
        <w:rPr>
          <w:rFonts w:hint="eastAsia"/>
          <w:sz w:val="30"/>
          <w:szCs w:val="30"/>
        </w:rPr>
        <w:t>号</w:t>
      </w:r>
    </w:p>
    <w:p w14:paraId="31C02CCE" w14:textId="77777777" w:rsidR="00012D12" w:rsidRDefault="00012D12">
      <w:pPr>
        <w:spacing w:line="500" w:lineRule="atLeast"/>
        <w:ind w:firstLine="600"/>
        <w:divId w:val="755203035"/>
        <w:rPr>
          <w:rFonts w:hint="eastAsia"/>
          <w:sz w:val="30"/>
          <w:szCs w:val="30"/>
        </w:rPr>
      </w:pPr>
      <w:r>
        <w:rPr>
          <w:rFonts w:hint="eastAsia"/>
          <w:sz w:val="30"/>
          <w:szCs w:val="30"/>
        </w:rPr>
        <w:t>公诉机关佛山市三水区人民检察院。</w:t>
      </w:r>
    </w:p>
    <w:p w14:paraId="34839A00" w14:textId="77777777" w:rsidR="00012D12" w:rsidRDefault="00012D12">
      <w:pPr>
        <w:spacing w:line="500" w:lineRule="atLeast"/>
        <w:ind w:firstLine="600"/>
        <w:divId w:val="507446962"/>
        <w:rPr>
          <w:rFonts w:hint="eastAsia"/>
          <w:sz w:val="30"/>
          <w:szCs w:val="30"/>
        </w:rPr>
      </w:pPr>
      <w:r>
        <w:rPr>
          <w:rFonts w:hint="eastAsia"/>
          <w:sz w:val="30"/>
          <w:szCs w:val="30"/>
        </w:rPr>
        <w:t>被告人甘国飞，男，</w:t>
      </w:r>
      <w:r>
        <w:rPr>
          <w:rFonts w:hint="eastAsia"/>
          <w:sz w:val="30"/>
          <w:szCs w:val="30"/>
        </w:rPr>
        <w:t>46</w:t>
      </w:r>
      <w:r>
        <w:rPr>
          <w:rFonts w:hint="eastAsia"/>
          <w:sz w:val="30"/>
          <w:szCs w:val="30"/>
        </w:rPr>
        <w:t>岁。</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日因涉嫌犯诈骗罪被抓获，次日被刑事拘留，同年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日被佛山市公安局三水分局取保候审；</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日因涉嫌犯行贿罪被佛山市三水区人民检察院取保候审，同年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日被本院取保候审，同年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日被逮捕。现羁押于佛山市三水区看守所。</w:t>
      </w:r>
    </w:p>
    <w:p w14:paraId="37B7D08F" w14:textId="77777777" w:rsidR="00012D12" w:rsidRDefault="00012D12">
      <w:pPr>
        <w:spacing w:line="500" w:lineRule="atLeast"/>
        <w:ind w:firstLine="600"/>
        <w:divId w:val="1497189381"/>
        <w:rPr>
          <w:rFonts w:hint="eastAsia"/>
          <w:sz w:val="30"/>
          <w:szCs w:val="30"/>
        </w:rPr>
      </w:pPr>
      <w:r>
        <w:rPr>
          <w:rFonts w:hint="eastAsia"/>
          <w:sz w:val="30"/>
          <w:szCs w:val="30"/>
        </w:rPr>
        <w:t>辩护人谢凯，广东浩淼律师事务所律师。</w:t>
      </w:r>
    </w:p>
    <w:p w14:paraId="21C8E0A2" w14:textId="77777777" w:rsidR="00012D12" w:rsidRDefault="00012D12">
      <w:pPr>
        <w:spacing w:line="500" w:lineRule="atLeast"/>
        <w:ind w:firstLine="600"/>
        <w:divId w:val="1822305259"/>
        <w:rPr>
          <w:rFonts w:hint="eastAsia"/>
          <w:sz w:val="30"/>
          <w:szCs w:val="30"/>
        </w:rPr>
      </w:pPr>
      <w:r>
        <w:rPr>
          <w:rFonts w:hint="eastAsia"/>
          <w:sz w:val="30"/>
          <w:szCs w:val="30"/>
        </w:rPr>
        <w:t>佛山市三水区人民检察院以佛三检刑诉（</w:t>
      </w:r>
      <w:r>
        <w:rPr>
          <w:rFonts w:hint="eastAsia"/>
          <w:sz w:val="30"/>
          <w:szCs w:val="30"/>
        </w:rPr>
        <w:t>2013</w:t>
      </w:r>
      <w:r>
        <w:rPr>
          <w:rFonts w:hint="eastAsia"/>
          <w:sz w:val="30"/>
          <w:szCs w:val="30"/>
        </w:rPr>
        <w:t>）</w:t>
      </w:r>
      <w:r>
        <w:rPr>
          <w:rFonts w:hint="eastAsia"/>
          <w:sz w:val="30"/>
          <w:szCs w:val="30"/>
        </w:rPr>
        <w:t>505</w:t>
      </w:r>
      <w:r>
        <w:rPr>
          <w:rFonts w:hint="eastAsia"/>
          <w:sz w:val="30"/>
          <w:szCs w:val="30"/>
        </w:rPr>
        <w:t>号起诉书指控被告人甘国飞犯行贿罪，于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适用简易程序，组成合议庭，公开开庭审理了本案。佛山市三水区人民检察院指派检察员曾巧珍、代理检察员徐卉出庭支持公诉，被告人甘国飞及辩护人谢凯到庭参加诉讼。现已审理终结。</w:t>
      </w:r>
    </w:p>
    <w:p w14:paraId="325E62CC" w14:textId="77777777" w:rsidR="00012D12" w:rsidRDefault="00012D12">
      <w:pPr>
        <w:spacing w:line="500" w:lineRule="atLeast"/>
        <w:ind w:firstLine="600"/>
        <w:divId w:val="1725105754"/>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被告人甘国飞为了使自己的学员以及托其疏通考官的其他驾驶员培训教练的学员顺利通过汽车驾驶员考试并从中获益，多次让负责监考汽车驾驶员考试的佛山市公安局交警支队车管所考试中队民警陈某一、陈某二、喻某某、梁某某、黄某某（均另案处理）以及佛山市公安局高明分局交警大队车管中队民警谭某某（另案处理）在监考过程中关照学员通过考试。事后，为多谢这些考官的帮忙，被告人甘国飞多次送给上述</w:t>
      </w:r>
      <w:r>
        <w:rPr>
          <w:rFonts w:hint="eastAsia"/>
          <w:sz w:val="30"/>
          <w:szCs w:val="30"/>
        </w:rPr>
        <w:t>6</w:t>
      </w:r>
      <w:r>
        <w:rPr>
          <w:rFonts w:hint="eastAsia"/>
          <w:sz w:val="30"/>
          <w:szCs w:val="30"/>
        </w:rPr>
        <w:t>名考官好处费共计人民币</w:t>
      </w:r>
      <w:r>
        <w:rPr>
          <w:rFonts w:hint="eastAsia"/>
          <w:sz w:val="30"/>
          <w:szCs w:val="30"/>
        </w:rPr>
        <w:t>87100</w:t>
      </w:r>
      <w:r>
        <w:rPr>
          <w:rFonts w:hint="eastAsia"/>
          <w:sz w:val="30"/>
          <w:szCs w:val="30"/>
        </w:rPr>
        <w:t>元。具体如下：</w:t>
      </w:r>
    </w:p>
    <w:p w14:paraId="6A00EB92" w14:textId="77777777" w:rsidR="00012D12" w:rsidRDefault="00012D12">
      <w:pPr>
        <w:spacing w:line="500" w:lineRule="atLeast"/>
        <w:ind w:firstLine="600"/>
        <w:divId w:val="1118336614"/>
        <w:rPr>
          <w:rFonts w:hint="eastAsia"/>
          <w:sz w:val="30"/>
          <w:szCs w:val="30"/>
        </w:rPr>
      </w:pPr>
      <w:r>
        <w:rPr>
          <w:rFonts w:hint="eastAsia"/>
          <w:sz w:val="30"/>
          <w:szCs w:val="30"/>
        </w:rPr>
        <w:t>1.2011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月期间，被告人甘国飞分多次送给陈某一好处费共计人民币</w:t>
      </w:r>
      <w:r>
        <w:rPr>
          <w:rFonts w:hint="eastAsia"/>
          <w:sz w:val="30"/>
          <w:szCs w:val="30"/>
        </w:rPr>
        <w:t>15000</w:t>
      </w:r>
      <w:r>
        <w:rPr>
          <w:rFonts w:hint="eastAsia"/>
          <w:sz w:val="30"/>
          <w:szCs w:val="30"/>
        </w:rPr>
        <w:t>元；</w:t>
      </w:r>
    </w:p>
    <w:p w14:paraId="405A3A79" w14:textId="77777777" w:rsidR="00012D12" w:rsidRDefault="00012D12">
      <w:pPr>
        <w:spacing w:line="500" w:lineRule="atLeast"/>
        <w:ind w:firstLine="600"/>
        <w:divId w:val="1605453550"/>
        <w:rPr>
          <w:rFonts w:hint="eastAsia"/>
          <w:sz w:val="30"/>
          <w:szCs w:val="30"/>
        </w:rPr>
      </w:pPr>
      <w:r>
        <w:rPr>
          <w:rFonts w:hint="eastAsia"/>
          <w:sz w:val="30"/>
          <w:szCs w:val="30"/>
        </w:rPr>
        <w:lastRenderedPageBreak/>
        <w:t>2.2011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月期间，被告人甘国飞分多次送给陈某二好处费共计人民币</w:t>
      </w:r>
      <w:r>
        <w:rPr>
          <w:rFonts w:hint="eastAsia"/>
          <w:sz w:val="30"/>
          <w:szCs w:val="30"/>
        </w:rPr>
        <w:t>19000</w:t>
      </w:r>
      <w:r>
        <w:rPr>
          <w:rFonts w:hint="eastAsia"/>
          <w:sz w:val="30"/>
          <w:szCs w:val="30"/>
        </w:rPr>
        <w:t>元；</w:t>
      </w:r>
    </w:p>
    <w:p w14:paraId="60820627" w14:textId="77777777" w:rsidR="00012D12" w:rsidRDefault="00012D12">
      <w:pPr>
        <w:spacing w:line="500" w:lineRule="atLeast"/>
        <w:ind w:firstLine="600"/>
        <w:divId w:val="1101607038"/>
        <w:rPr>
          <w:rFonts w:hint="eastAsia"/>
          <w:sz w:val="30"/>
          <w:szCs w:val="30"/>
        </w:rPr>
      </w:pPr>
      <w:r>
        <w:rPr>
          <w:rFonts w:hint="eastAsia"/>
          <w:sz w:val="30"/>
          <w:szCs w:val="30"/>
        </w:rPr>
        <w:t>3.2012</w:t>
      </w:r>
      <w:r>
        <w:rPr>
          <w:rFonts w:hint="eastAsia"/>
          <w:sz w:val="30"/>
          <w:szCs w:val="30"/>
        </w:rPr>
        <w:t>年初至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月期间，被告人甘国飞分多次送给喻某某好处费共计人民币</w:t>
      </w:r>
      <w:r>
        <w:rPr>
          <w:rFonts w:hint="eastAsia"/>
          <w:sz w:val="30"/>
          <w:szCs w:val="30"/>
        </w:rPr>
        <w:t>15000</w:t>
      </w:r>
      <w:r>
        <w:rPr>
          <w:rFonts w:hint="eastAsia"/>
          <w:sz w:val="30"/>
          <w:szCs w:val="30"/>
        </w:rPr>
        <w:t>元；</w:t>
      </w:r>
    </w:p>
    <w:p w14:paraId="7732E9F8" w14:textId="77777777" w:rsidR="00012D12" w:rsidRDefault="00012D12">
      <w:pPr>
        <w:spacing w:line="500" w:lineRule="atLeast"/>
        <w:ind w:firstLine="600"/>
        <w:divId w:val="1514300708"/>
        <w:rPr>
          <w:rFonts w:hint="eastAsia"/>
          <w:sz w:val="30"/>
          <w:szCs w:val="30"/>
        </w:rPr>
      </w:pPr>
      <w:r>
        <w:rPr>
          <w:rFonts w:hint="eastAsia"/>
          <w:sz w:val="30"/>
          <w:szCs w:val="30"/>
        </w:rPr>
        <w:t>4.2012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月期间，被告人甘国飞分多次送给梁某某好处费共计人民币</w:t>
      </w:r>
      <w:r>
        <w:rPr>
          <w:rFonts w:hint="eastAsia"/>
          <w:sz w:val="30"/>
          <w:szCs w:val="30"/>
        </w:rPr>
        <w:t>9100</w:t>
      </w:r>
      <w:r>
        <w:rPr>
          <w:rFonts w:hint="eastAsia"/>
          <w:sz w:val="30"/>
          <w:szCs w:val="30"/>
        </w:rPr>
        <w:t>元；</w:t>
      </w:r>
    </w:p>
    <w:p w14:paraId="7746CD32" w14:textId="77777777" w:rsidR="00012D12" w:rsidRDefault="00012D12">
      <w:pPr>
        <w:spacing w:line="500" w:lineRule="atLeast"/>
        <w:ind w:firstLine="600"/>
        <w:divId w:val="694884973"/>
        <w:rPr>
          <w:rFonts w:hint="eastAsia"/>
          <w:sz w:val="30"/>
          <w:szCs w:val="30"/>
        </w:rPr>
      </w:pPr>
      <w:r>
        <w:rPr>
          <w:rFonts w:hint="eastAsia"/>
          <w:sz w:val="30"/>
          <w:szCs w:val="30"/>
        </w:rPr>
        <w:t>5.2012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月期间，被告人甘国飞分两次送给黄某某好处费共计人民币</w:t>
      </w:r>
      <w:r>
        <w:rPr>
          <w:rFonts w:hint="eastAsia"/>
          <w:sz w:val="30"/>
          <w:szCs w:val="30"/>
        </w:rPr>
        <w:t>4000</w:t>
      </w:r>
      <w:r>
        <w:rPr>
          <w:rFonts w:hint="eastAsia"/>
          <w:sz w:val="30"/>
          <w:szCs w:val="30"/>
        </w:rPr>
        <w:t>元；</w:t>
      </w:r>
    </w:p>
    <w:p w14:paraId="723AEBF9" w14:textId="77777777" w:rsidR="00012D12" w:rsidRDefault="00012D12">
      <w:pPr>
        <w:spacing w:line="500" w:lineRule="atLeast"/>
        <w:ind w:firstLine="600"/>
        <w:divId w:val="1375154021"/>
        <w:rPr>
          <w:rFonts w:hint="eastAsia"/>
          <w:sz w:val="30"/>
          <w:szCs w:val="30"/>
        </w:rPr>
      </w:pPr>
      <w:r>
        <w:rPr>
          <w:rFonts w:hint="eastAsia"/>
          <w:sz w:val="30"/>
          <w:szCs w:val="30"/>
        </w:rPr>
        <w:t>6.2012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月期间，被告人甘国飞分两次送给谭某某好处费共计人民币</w:t>
      </w:r>
      <w:r>
        <w:rPr>
          <w:rFonts w:hint="eastAsia"/>
          <w:sz w:val="30"/>
          <w:szCs w:val="30"/>
        </w:rPr>
        <w:t>25000</w:t>
      </w:r>
      <w:r>
        <w:rPr>
          <w:rFonts w:hint="eastAsia"/>
          <w:sz w:val="30"/>
          <w:szCs w:val="30"/>
        </w:rPr>
        <w:t>元。</w:t>
      </w:r>
    </w:p>
    <w:p w14:paraId="597BB68D" w14:textId="77777777" w:rsidR="00012D12" w:rsidRDefault="00012D12">
      <w:pPr>
        <w:spacing w:line="500" w:lineRule="atLeast"/>
        <w:ind w:firstLine="600"/>
        <w:divId w:val="1426416393"/>
        <w:rPr>
          <w:rFonts w:hint="eastAsia"/>
          <w:sz w:val="30"/>
          <w:szCs w:val="30"/>
        </w:rPr>
      </w:pPr>
      <w:r>
        <w:rPr>
          <w:rFonts w:hint="eastAsia"/>
          <w:sz w:val="30"/>
          <w:szCs w:val="30"/>
        </w:rPr>
        <w:t>上述事实，被告人甘国飞在开庭审理过程中不持异议，并有公诉机关提供的被告人甘国飞的供述，证人谭某某、陈某一、陈某二、喻某某、黄某某、梁某某、王某某、陈某三、黄某二、陈某四的证言，辨认笔录及照片，谭某某、陈某一、陈某二、喻某某、梁某某、黄某某的相关材料，甘国飞的户籍材料、身份证复印件、机动车驾驶证、机动车驾驶培训教练员证、教练员聘用协议书、招生情况，佛山市公安局三水分局出具的函件及说明，到案经过，说明材料等证据证实，足以认定，本院予以确认。</w:t>
      </w:r>
    </w:p>
    <w:p w14:paraId="7A172C3D" w14:textId="77777777" w:rsidR="00012D12" w:rsidRDefault="00012D12">
      <w:pPr>
        <w:spacing w:line="500" w:lineRule="atLeast"/>
        <w:ind w:firstLine="600"/>
        <w:divId w:val="1807430001"/>
        <w:rPr>
          <w:rFonts w:hint="eastAsia"/>
          <w:sz w:val="30"/>
          <w:szCs w:val="30"/>
        </w:rPr>
      </w:pPr>
      <w:r>
        <w:rPr>
          <w:rFonts w:hint="eastAsia"/>
          <w:sz w:val="30"/>
          <w:szCs w:val="30"/>
        </w:rPr>
        <w:t>本院认为，被告人甘国飞无视国家法律，为谋取不正当利益，给予多名国家工作人员以财物合计人民币</w:t>
      </w:r>
      <w:r>
        <w:rPr>
          <w:rFonts w:hint="eastAsia"/>
          <w:sz w:val="30"/>
          <w:szCs w:val="30"/>
        </w:rPr>
        <w:t>87100</w:t>
      </w:r>
      <w:r>
        <w:rPr>
          <w:rFonts w:hint="eastAsia"/>
          <w:sz w:val="30"/>
          <w:szCs w:val="30"/>
        </w:rPr>
        <w:t>元，其行为已构成行贿罪。公诉机关所控罪名成立，本院予以采纳。被告人甘国飞在被追诉前能主动交待其行贿的事实，根据《中华人民共和国刑法》第三百九十条第二款的规定，“可以减轻处罚或者免除处罚”，但被告人甘国飞所犯行贿罪的法定刑为五年以下有期徒刑或者拘役，因而不能对其减轻处罚；另根据《最高人民法院、最高人民检察院关于办理行贿刑事案件具体应用法律若干问题的解释》第十条第一款第（一）项的规定，向三人以上行贿的，一般不适用缓刑和免予刑事处罚，故也不能对其适用缓刑和免予刑事处罚。同时鉴于被告人甘国飞在归案后也能如实供述其行贿的事实，依照《中华人民共和国刑法》第六十七条第三款的规定，可以认定为坦白，本院依法对其予以从轻处罚。辩护人提出对被告人甘国飞适用缓刑的意见，与相关司法解释规定不符，本院不予采纳。被告人甘国飞因涉嫌诈骗被公安机关刑事拘留，因其被刑事拘留所涉事实与本案判决所涉为同一事实，故其被羁押的时间应在刑期中予以扣除。根据被告人甘国飞犯罪的事实、性质、情节和社会危害程度，依照《中华人民共和国刑法》第三百八十九条第一款、第三百九十条第一款、第六十七条第三款、第四十七条的规定，判决如下：</w:t>
      </w:r>
    </w:p>
    <w:p w14:paraId="66092B60" w14:textId="77777777" w:rsidR="00012D12" w:rsidRDefault="00012D12">
      <w:pPr>
        <w:spacing w:line="500" w:lineRule="atLeast"/>
        <w:ind w:firstLine="600"/>
        <w:divId w:val="1482691046"/>
        <w:rPr>
          <w:rFonts w:hint="eastAsia"/>
          <w:sz w:val="30"/>
          <w:szCs w:val="30"/>
        </w:rPr>
      </w:pPr>
      <w:r>
        <w:rPr>
          <w:rFonts w:hint="eastAsia"/>
          <w:sz w:val="30"/>
          <w:szCs w:val="30"/>
        </w:rPr>
        <w:t>被告人甘国飞犯行贿罪，判处有期徒刑二年。</w:t>
      </w:r>
    </w:p>
    <w:p w14:paraId="08D1EE9A" w14:textId="77777777" w:rsidR="00012D12" w:rsidRDefault="00012D12">
      <w:pPr>
        <w:spacing w:line="500" w:lineRule="atLeast"/>
        <w:ind w:firstLine="600"/>
        <w:divId w:val="539392099"/>
        <w:rPr>
          <w:rFonts w:hint="eastAsia"/>
          <w:sz w:val="30"/>
          <w:szCs w:val="30"/>
        </w:rPr>
      </w:pPr>
      <w:r>
        <w:rPr>
          <w:rFonts w:hint="eastAsia"/>
          <w:sz w:val="30"/>
          <w:szCs w:val="30"/>
        </w:rPr>
        <w:t>（刑期从判决执行之日起计算。判决执行以前先行羁押的，羁押一日折抵刑期一日，扣除先行羁押的</w:t>
      </w:r>
      <w:r>
        <w:rPr>
          <w:rFonts w:hint="eastAsia"/>
          <w:sz w:val="30"/>
          <w:szCs w:val="30"/>
        </w:rPr>
        <w:t>32</w:t>
      </w:r>
      <w:r>
        <w:rPr>
          <w:rFonts w:hint="eastAsia"/>
          <w:sz w:val="30"/>
          <w:szCs w:val="30"/>
        </w:rPr>
        <w:t>日，即刑期自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日止。）</w:t>
      </w:r>
    </w:p>
    <w:p w14:paraId="78BB2C8F" w14:textId="77777777" w:rsidR="00012D12" w:rsidRDefault="00012D12">
      <w:pPr>
        <w:spacing w:line="500" w:lineRule="atLeast"/>
        <w:ind w:firstLine="600"/>
        <w:divId w:val="65596092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3FA96701" w14:textId="77777777" w:rsidR="00012D12" w:rsidRDefault="00012D12">
      <w:pPr>
        <w:spacing w:line="500" w:lineRule="atLeast"/>
        <w:jc w:val="right"/>
        <w:divId w:val="277374740"/>
        <w:rPr>
          <w:rFonts w:hint="eastAsia"/>
          <w:sz w:val="30"/>
          <w:szCs w:val="30"/>
        </w:rPr>
      </w:pPr>
      <w:r>
        <w:rPr>
          <w:rFonts w:hint="eastAsia"/>
          <w:sz w:val="30"/>
          <w:szCs w:val="30"/>
        </w:rPr>
        <w:t>审　判　长　　代　天</w:t>
      </w:r>
    </w:p>
    <w:p w14:paraId="60E17158" w14:textId="77777777" w:rsidR="00012D12" w:rsidRDefault="00012D12">
      <w:pPr>
        <w:spacing w:line="500" w:lineRule="atLeast"/>
        <w:jc w:val="right"/>
        <w:divId w:val="58554488"/>
        <w:rPr>
          <w:rFonts w:hint="eastAsia"/>
          <w:sz w:val="30"/>
          <w:szCs w:val="30"/>
        </w:rPr>
      </w:pPr>
      <w:r>
        <w:rPr>
          <w:rFonts w:hint="eastAsia"/>
          <w:sz w:val="30"/>
          <w:szCs w:val="30"/>
        </w:rPr>
        <w:t>审　判　员　　陈　敏</w:t>
      </w:r>
    </w:p>
    <w:p w14:paraId="43C630F5" w14:textId="77777777" w:rsidR="00012D12" w:rsidRDefault="00012D12">
      <w:pPr>
        <w:spacing w:line="500" w:lineRule="atLeast"/>
        <w:jc w:val="right"/>
        <w:divId w:val="1270552469"/>
        <w:rPr>
          <w:rFonts w:hint="eastAsia"/>
          <w:sz w:val="30"/>
          <w:szCs w:val="30"/>
        </w:rPr>
      </w:pPr>
      <w:r>
        <w:rPr>
          <w:rFonts w:hint="eastAsia"/>
          <w:sz w:val="30"/>
          <w:szCs w:val="30"/>
        </w:rPr>
        <w:t>人民陪审员　　何永权</w:t>
      </w:r>
    </w:p>
    <w:p w14:paraId="255107BD" w14:textId="77777777" w:rsidR="00012D12" w:rsidRDefault="00012D12">
      <w:pPr>
        <w:spacing w:line="500" w:lineRule="atLeast"/>
        <w:jc w:val="right"/>
        <w:divId w:val="1228998258"/>
        <w:rPr>
          <w:rFonts w:hint="eastAsia"/>
          <w:sz w:val="30"/>
          <w:szCs w:val="30"/>
        </w:rPr>
      </w:pPr>
      <w:r>
        <w:rPr>
          <w:rFonts w:hint="eastAsia"/>
          <w:sz w:val="30"/>
          <w:szCs w:val="30"/>
        </w:rPr>
        <w:t>二〇一三年十二月十九日</w:t>
      </w:r>
    </w:p>
    <w:p w14:paraId="30A2A43E" w14:textId="77777777" w:rsidR="00012D12" w:rsidRDefault="00012D12">
      <w:pPr>
        <w:spacing w:line="500" w:lineRule="atLeast"/>
        <w:jc w:val="right"/>
        <w:divId w:val="1561599530"/>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A0C0C" w14:textId="77777777" w:rsidR="00012D12" w:rsidRDefault="00012D12" w:rsidP="00012D12">
      <w:pPr>
        <w:rPr>
          <w:rFonts w:hint="eastAsia"/>
        </w:rPr>
      </w:pPr>
      <w:r>
        <w:separator/>
      </w:r>
    </w:p>
  </w:endnote>
  <w:endnote w:type="continuationSeparator" w:id="0">
    <w:p w14:paraId="257179E2" w14:textId="77777777" w:rsidR="00012D12" w:rsidRDefault="00012D12" w:rsidP="00012D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FD279" w14:textId="77777777" w:rsidR="00012D12" w:rsidRDefault="00012D12" w:rsidP="00012D12">
      <w:pPr>
        <w:rPr>
          <w:rFonts w:hint="eastAsia"/>
        </w:rPr>
      </w:pPr>
      <w:r>
        <w:separator/>
      </w:r>
    </w:p>
  </w:footnote>
  <w:footnote w:type="continuationSeparator" w:id="0">
    <w:p w14:paraId="5588685D" w14:textId="77777777" w:rsidR="00012D12" w:rsidRDefault="00012D12" w:rsidP="00012D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2D12"/>
    <w:rsid w:val="00012D12"/>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ACD75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2D12"/>
    <w:pPr>
      <w:tabs>
        <w:tab w:val="center" w:pos="4153"/>
        <w:tab w:val="right" w:pos="8306"/>
      </w:tabs>
      <w:snapToGrid w:val="0"/>
      <w:jc w:val="center"/>
    </w:pPr>
    <w:rPr>
      <w:sz w:val="18"/>
      <w:szCs w:val="18"/>
    </w:rPr>
  </w:style>
  <w:style w:type="character" w:customStyle="1" w:styleId="a4">
    <w:name w:val="页眉 字符"/>
    <w:basedOn w:val="a0"/>
    <w:link w:val="a3"/>
    <w:uiPriority w:val="99"/>
    <w:rsid w:val="00012D12"/>
    <w:rPr>
      <w:rFonts w:ascii="宋体" w:eastAsia="宋体" w:hAnsi="宋体" w:cs="宋体"/>
      <w:sz w:val="18"/>
      <w:szCs w:val="18"/>
    </w:rPr>
  </w:style>
  <w:style w:type="paragraph" w:styleId="a5">
    <w:name w:val="footer"/>
    <w:basedOn w:val="a"/>
    <w:link w:val="a6"/>
    <w:uiPriority w:val="99"/>
    <w:unhideWhenUsed/>
    <w:rsid w:val="00012D12"/>
    <w:pPr>
      <w:tabs>
        <w:tab w:val="center" w:pos="4153"/>
        <w:tab w:val="right" w:pos="8306"/>
      </w:tabs>
      <w:snapToGrid w:val="0"/>
    </w:pPr>
    <w:rPr>
      <w:sz w:val="18"/>
      <w:szCs w:val="18"/>
    </w:rPr>
  </w:style>
  <w:style w:type="character" w:customStyle="1" w:styleId="a6">
    <w:name w:val="页脚 字符"/>
    <w:basedOn w:val="a0"/>
    <w:link w:val="a5"/>
    <w:uiPriority w:val="99"/>
    <w:rsid w:val="00012D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4488">
      <w:marLeft w:val="0"/>
      <w:marRight w:val="720"/>
      <w:marTop w:val="10"/>
      <w:marBottom w:val="10"/>
      <w:divBdr>
        <w:top w:val="none" w:sz="0" w:space="0" w:color="auto"/>
        <w:left w:val="none" w:sz="0" w:space="0" w:color="auto"/>
        <w:bottom w:val="none" w:sz="0" w:space="0" w:color="auto"/>
        <w:right w:val="none" w:sz="0" w:space="0" w:color="auto"/>
      </w:divBdr>
    </w:div>
    <w:div w:id="114646124">
      <w:marLeft w:val="0"/>
      <w:marRight w:val="0"/>
      <w:marTop w:val="10"/>
      <w:marBottom w:val="10"/>
      <w:divBdr>
        <w:top w:val="none" w:sz="0" w:space="0" w:color="auto"/>
        <w:left w:val="none" w:sz="0" w:space="0" w:color="auto"/>
        <w:bottom w:val="none" w:sz="0" w:space="0" w:color="auto"/>
        <w:right w:val="none" w:sz="0" w:space="0" w:color="auto"/>
      </w:divBdr>
    </w:div>
    <w:div w:id="277374740">
      <w:marLeft w:val="0"/>
      <w:marRight w:val="720"/>
      <w:marTop w:val="10"/>
      <w:marBottom w:val="10"/>
      <w:divBdr>
        <w:top w:val="none" w:sz="0" w:space="0" w:color="auto"/>
        <w:left w:val="none" w:sz="0" w:space="0" w:color="auto"/>
        <w:bottom w:val="none" w:sz="0" w:space="0" w:color="auto"/>
        <w:right w:val="none" w:sz="0" w:space="0" w:color="auto"/>
      </w:divBdr>
    </w:div>
    <w:div w:id="507446962">
      <w:marLeft w:val="0"/>
      <w:marRight w:val="0"/>
      <w:marTop w:val="10"/>
      <w:marBottom w:val="10"/>
      <w:divBdr>
        <w:top w:val="none" w:sz="0" w:space="0" w:color="auto"/>
        <w:left w:val="none" w:sz="0" w:space="0" w:color="auto"/>
        <w:bottom w:val="none" w:sz="0" w:space="0" w:color="auto"/>
        <w:right w:val="none" w:sz="0" w:space="0" w:color="auto"/>
      </w:divBdr>
    </w:div>
    <w:div w:id="539392099">
      <w:marLeft w:val="0"/>
      <w:marRight w:val="0"/>
      <w:marTop w:val="10"/>
      <w:marBottom w:val="10"/>
      <w:divBdr>
        <w:top w:val="none" w:sz="0" w:space="0" w:color="auto"/>
        <w:left w:val="none" w:sz="0" w:space="0" w:color="auto"/>
        <w:bottom w:val="none" w:sz="0" w:space="0" w:color="auto"/>
        <w:right w:val="none" w:sz="0" w:space="0" w:color="auto"/>
      </w:divBdr>
    </w:div>
    <w:div w:id="612053372">
      <w:marLeft w:val="0"/>
      <w:marRight w:val="0"/>
      <w:marTop w:val="10"/>
      <w:marBottom w:val="10"/>
      <w:divBdr>
        <w:top w:val="none" w:sz="0" w:space="0" w:color="auto"/>
        <w:left w:val="none" w:sz="0" w:space="0" w:color="auto"/>
        <w:bottom w:val="none" w:sz="0" w:space="0" w:color="auto"/>
        <w:right w:val="none" w:sz="0" w:space="0" w:color="auto"/>
      </w:divBdr>
    </w:div>
    <w:div w:id="655960921">
      <w:marLeft w:val="0"/>
      <w:marRight w:val="0"/>
      <w:marTop w:val="10"/>
      <w:marBottom w:val="10"/>
      <w:divBdr>
        <w:top w:val="none" w:sz="0" w:space="0" w:color="auto"/>
        <w:left w:val="none" w:sz="0" w:space="0" w:color="auto"/>
        <w:bottom w:val="none" w:sz="0" w:space="0" w:color="auto"/>
        <w:right w:val="none" w:sz="0" w:space="0" w:color="auto"/>
      </w:divBdr>
    </w:div>
    <w:div w:id="694884973">
      <w:marLeft w:val="0"/>
      <w:marRight w:val="0"/>
      <w:marTop w:val="10"/>
      <w:marBottom w:val="10"/>
      <w:divBdr>
        <w:top w:val="none" w:sz="0" w:space="0" w:color="auto"/>
        <w:left w:val="none" w:sz="0" w:space="0" w:color="auto"/>
        <w:bottom w:val="none" w:sz="0" w:space="0" w:color="auto"/>
        <w:right w:val="none" w:sz="0" w:space="0" w:color="auto"/>
      </w:divBdr>
    </w:div>
    <w:div w:id="755203035">
      <w:marLeft w:val="0"/>
      <w:marRight w:val="0"/>
      <w:marTop w:val="10"/>
      <w:marBottom w:val="10"/>
      <w:divBdr>
        <w:top w:val="none" w:sz="0" w:space="0" w:color="auto"/>
        <w:left w:val="none" w:sz="0" w:space="0" w:color="auto"/>
        <w:bottom w:val="none" w:sz="0" w:space="0" w:color="auto"/>
        <w:right w:val="none" w:sz="0" w:space="0" w:color="auto"/>
      </w:divBdr>
    </w:div>
    <w:div w:id="778334287">
      <w:marLeft w:val="0"/>
      <w:marRight w:val="0"/>
      <w:marTop w:val="10"/>
      <w:marBottom w:val="10"/>
      <w:divBdr>
        <w:top w:val="none" w:sz="0" w:space="0" w:color="auto"/>
        <w:left w:val="none" w:sz="0" w:space="0" w:color="auto"/>
        <w:bottom w:val="none" w:sz="0" w:space="0" w:color="auto"/>
        <w:right w:val="none" w:sz="0" w:space="0" w:color="auto"/>
      </w:divBdr>
    </w:div>
    <w:div w:id="1101607038">
      <w:marLeft w:val="0"/>
      <w:marRight w:val="0"/>
      <w:marTop w:val="10"/>
      <w:marBottom w:val="10"/>
      <w:divBdr>
        <w:top w:val="none" w:sz="0" w:space="0" w:color="auto"/>
        <w:left w:val="none" w:sz="0" w:space="0" w:color="auto"/>
        <w:bottom w:val="none" w:sz="0" w:space="0" w:color="auto"/>
        <w:right w:val="none" w:sz="0" w:space="0" w:color="auto"/>
      </w:divBdr>
    </w:div>
    <w:div w:id="1118336614">
      <w:marLeft w:val="0"/>
      <w:marRight w:val="0"/>
      <w:marTop w:val="10"/>
      <w:marBottom w:val="10"/>
      <w:divBdr>
        <w:top w:val="none" w:sz="0" w:space="0" w:color="auto"/>
        <w:left w:val="none" w:sz="0" w:space="0" w:color="auto"/>
        <w:bottom w:val="none" w:sz="0" w:space="0" w:color="auto"/>
        <w:right w:val="none" w:sz="0" w:space="0" w:color="auto"/>
      </w:divBdr>
    </w:div>
    <w:div w:id="1228998258">
      <w:marLeft w:val="0"/>
      <w:marRight w:val="720"/>
      <w:marTop w:val="10"/>
      <w:marBottom w:val="10"/>
      <w:divBdr>
        <w:top w:val="none" w:sz="0" w:space="0" w:color="auto"/>
        <w:left w:val="none" w:sz="0" w:space="0" w:color="auto"/>
        <w:bottom w:val="none" w:sz="0" w:space="0" w:color="auto"/>
        <w:right w:val="none" w:sz="0" w:space="0" w:color="auto"/>
      </w:divBdr>
    </w:div>
    <w:div w:id="1270552469">
      <w:marLeft w:val="0"/>
      <w:marRight w:val="720"/>
      <w:marTop w:val="10"/>
      <w:marBottom w:val="10"/>
      <w:divBdr>
        <w:top w:val="none" w:sz="0" w:space="0" w:color="auto"/>
        <w:left w:val="none" w:sz="0" w:space="0" w:color="auto"/>
        <w:bottom w:val="none" w:sz="0" w:space="0" w:color="auto"/>
        <w:right w:val="none" w:sz="0" w:space="0" w:color="auto"/>
      </w:divBdr>
    </w:div>
    <w:div w:id="1375154021">
      <w:marLeft w:val="0"/>
      <w:marRight w:val="0"/>
      <w:marTop w:val="10"/>
      <w:marBottom w:val="10"/>
      <w:divBdr>
        <w:top w:val="none" w:sz="0" w:space="0" w:color="auto"/>
        <w:left w:val="none" w:sz="0" w:space="0" w:color="auto"/>
        <w:bottom w:val="none" w:sz="0" w:space="0" w:color="auto"/>
        <w:right w:val="none" w:sz="0" w:space="0" w:color="auto"/>
      </w:divBdr>
    </w:div>
    <w:div w:id="1426416393">
      <w:marLeft w:val="0"/>
      <w:marRight w:val="0"/>
      <w:marTop w:val="10"/>
      <w:marBottom w:val="10"/>
      <w:divBdr>
        <w:top w:val="none" w:sz="0" w:space="0" w:color="auto"/>
        <w:left w:val="none" w:sz="0" w:space="0" w:color="auto"/>
        <w:bottom w:val="none" w:sz="0" w:space="0" w:color="auto"/>
        <w:right w:val="none" w:sz="0" w:space="0" w:color="auto"/>
      </w:divBdr>
    </w:div>
    <w:div w:id="1482691046">
      <w:marLeft w:val="0"/>
      <w:marRight w:val="0"/>
      <w:marTop w:val="10"/>
      <w:marBottom w:val="10"/>
      <w:divBdr>
        <w:top w:val="none" w:sz="0" w:space="0" w:color="auto"/>
        <w:left w:val="none" w:sz="0" w:space="0" w:color="auto"/>
        <w:bottom w:val="none" w:sz="0" w:space="0" w:color="auto"/>
        <w:right w:val="none" w:sz="0" w:space="0" w:color="auto"/>
      </w:divBdr>
    </w:div>
    <w:div w:id="1497189381">
      <w:marLeft w:val="0"/>
      <w:marRight w:val="0"/>
      <w:marTop w:val="10"/>
      <w:marBottom w:val="10"/>
      <w:divBdr>
        <w:top w:val="none" w:sz="0" w:space="0" w:color="auto"/>
        <w:left w:val="none" w:sz="0" w:space="0" w:color="auto"/>
        <w:bottom w:val="none" w:sz="0" w:space="0" w:color="auto"/>
        <w:right w:val="none" w:sz="0" w:space="0" w:color="auto"/>
      </w:divBdr>
    </w:div>
    <w:div w:id="1514300708">
      <w:marLeft w:val="0"/>
      <w:marRight w:val="0"/>
      <w:marTop w:val="10"/>
      <w:marBottom w:val="10"/>
      <w:divBdr>
        <w:top w:val="none" w:sz="0" w:space="0" w:color="auto"/>
        <w:left w:val="none" w:sz="0" w:space="0" w:color="auto"/>
        <w:bottom w:val="none" w:sz="0" w:space="0" w:color="auto"/>
        <w:right w:val="none" w:sz="0" w:space="0" w:color="auto"/>
      </w:divBdr>
    </w:div>
    <w:div w:id="1561599530">
      <w:marLeft w:val="0"/>
      <w:marRight w:val="720"/>
      <w:marTop w:val="10"/>
      <w:marBottom w:val="10"/>
      <w:divBdr>
        <w:top w:val="none" w:sz="0" w:space="0" w:color="auto"/>
        <w:left w:val="none" w:sz="0" w:space="0" w:color="auto"/>
        <w:bottom w:val="none" w:sz="0" w:space="0" w:color="auto"/>
        <w:right w:val="none" w:sz="0" w:space="0" w:color="auto"/>
      </w:divBdr>
    </w:div>
    <w:div w:id="1605453550">
      <w:marLeft w:val="0"/>
      <w:marRight w:val="0"/>
      <w:marTop w:val="10"/>
      <w:marBottom w:val="10"/>
      <w:divBdr>
        <w:top w:val="none" w:sz="0" w:space="0" w:color="auto"/>
        <w:left w:val="none" w:sz="0" w:space="0" w:color="auto"/>
        <w:bottom w:val="none" w:sz="0" w:space="0" w:color="auto"/>
        <w:right w:val="none" w:sz="0" w:space="0" w:color="auto"/>
      </w:divBdr>
    </w:div>
    <w:div w:id="1725105754">
      <w:marLeft w:val="0"/>
      <w:marRight w:val="0"/>
      <w:marTop w:val="10"/>
      <w:marBottom w:val="10"/>
      <w:divBdr>
        <w:top w:val="none" w:sz="0" w:space="0" w:color="auto"/>
        <w:left w:val="none" w:sz="0" w:space="0" w:color="auto"/>
        <w:bottom w:val="none" w:sz="0" w:space="0" w:color="auto"/>
        <w:right w:val="none" w:sz="0" w:space="0" w:color="auto"/>
      </w:divBdr>
    </w:div>
    <w:div w:id="1807430001">
      <w:marLeft w:val="0"/>
      <w:marRight w:val="0"/>
      <w:marTop w:val="10"/>
      <w:marBottom w:val="10"/>
      <w:divBdr>
        <w:top w:val="none" w:sz="0" w:space="0" w:color="auto"/>
        <w:left w:val="none" w:sz="0" w:space="0" w:color="auto"/>
        <w:bottom w:val="none" w:sz="0" w:space="0" w:color="auto"/>
        <w:right w:val="none" w:sz="0" w:space="0" w:color="auto"/>
      </w:divBdr>
    </w:div>
    <w:div w:id="18223052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