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DEC52" w14:textId="77777777" w:rsidR="0005240F" w:rsidRDefault="0005240F">
      <w:pPr>
        <w:spacing w:line="500" w:lineRule="atLeast"/>
        <w:jc w:val="center"/>
        <w:divId w:val="1645305819"/>
        <w:rPr>
          <w:rFonts w:ascii="黑体" w:eastAsia="黑体" w:hAnsi="黑体"/>
          <w:sz w:val="36"/>
          <w:szCs w:val="36"/>
        </w:rPr>
      </w:pPr>
      <w:r>
        <w:rPr>
          <w:rFonts w:ascii="黑体" w:eastAsia="黑体" w:hAnsi="黑体" w:hint="eastAsia"/>
          <w:sz w:val="36"/>
          <w:szCs w:val="36"/>
        </w:rPr>
        <w:t>广东省佛山市三水区人民法院</w:t>
      </w:r>
    </w:p>
    <w:p w14:paraId="4B6FEF36" w14:textId="77777777" w:rsidR="0005240F" w:rsidRDefault="0005240F">
      <w:pPr>
        <w:spacing w:line="500" w:lineRule="atLeast"/>
        <w:jc w:val="center"/>
        <w:divId w:val="20708093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38DA43" w14:textId="77777777" w:rsidR="0005240F" w:rsidRDefault="0005240F">
      <w:pPr>
        <w:spacing w:line="500" w:lineRule="atLeast"/>
        <w:jc w:val="right"/>
        <w:divId w:val="1394698807"/>
        <w:rPr>
          <w:rFonts w:hint="eastAsia"/>
          <w:sz w:val="30"/>
          <w:szCs w:val="30"/>
        </w:rPr>
      </w:pPr>
      <w:r>
        <w:rPr>
          <w:rFonts w:hint="eastAsia"/>
          <w:sz w:val="30"/>
          <w:szCs w:val="30"/>
        </w:rPr>
        <w:t>（</w:t>
      </w:r>
      <w:r>
        <w:rPr>
          <w:rFonts w:hint="eastAsia"/>
          <w:sz w:val="30"/>
          <w:szCs w:val="30"/>
        </w:rPr>
        <w:t>2014</w:t>
      </w:r>
      <w:r>
        <w:rPr>
          <w:rFonts w:hint="eastAsia"/>
          <w:sz w:val="30"/>
          <w:szCs w:val="30"/>
        </w:rPr>
        <w:t>）佛三法刑初字第</w:t>
      </w:r>
      <w:r>
        <w:rPr>
          <w:rFonts w:hint="eastAsia"/>
          <w:sz w:val="30"/>
          <w:szCs w:val="30"/>
        </w:rPr>
        <w:t>580</w:t>
      </w:r>
      <w:r>
        <w:rPr>
          <w:rFonts w:hint="eastAsia"/>
          <w:sz w:val="30"/>
          <w:szCs w:val="30"/>
        </w:rPr>
        <w:t>号</w:t>
      </w:r>
    </w:p>
    <w:p w14:paraId="401A088B" w14:textId="77777777" w:rsidR="0005240F" w:rsidRDefault="0005240F">
      <w:pPr>
        <w:spacing w:line="500" w:lineRule="atLeast"/>
        <w:ind w:firstLine="600"/>
        <w:divId w:val="1978415860"/>
        <w:rPr>
          <w:rFonts w:hint="eastAsia"/>
          <w:sz w:val="30"/>
          <w:szCs w:val="30"/>
        </w:rPr>
      </w:pPr>
      <w:r>
        <w:rPr>
          <w:rFonts w:hint="eastAsia"/>
          <w:sz w:val="30"/>
          <w:szCs w:val="30"/>
        </w:rPr>
        <w:t>公诉机关佛山市三水区人民检察院。</w:t>
      </w:r>
    </w:p>
    <w:p w14:paraId="41C68BEC" w14:textId="77777777" w:rsidR="0005240F" w:rsidRDefault="0005240F">
      <w:pPr>
        <w:spacing w:line="500" w:lineRule="atLeast"/>
        <w:ind w:firstLine="600"/>
        <w:divId w:val="1150251690"/>
        <w:rPr>
          <w:rFonts w:hint="eastAsia"/>
          <w:sz w:val="30"/>
          <w:szCs w:val="30"/>
        </w:rPr>
      </w:pPr>
      <w:r>
        <w:rPr>
          <w:rFonts w:hint="eastAsia"/>
          <w:sz w:val="30"/>
          <w:szCs w:val="30"/>
        </w:rPr>
        <w:t>被告人韩春英，女，</w:t>
      </w:r>
      <w:r>
        <w:rPr>
          <w:rFonts w:hint="eastAsia"/>
          <w:sz w:val="30"/>
          <w:szCs w:val="30"/>
        </w:rPr>
        <w:t>36</w:t>
      </w:r>
      <w:r>
        <w:rPr>
          <w:rFonts w:hint="eastAsia"/>
          <w:sz w:val="30"/>
          <w:szCs w:val="30"/>
        </w:rPr>
        <w:t>岁。因本案于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日被佛山市三水区人民检察院取保候审，同年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日被本院取保候审，同年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日被逮捕。现羁押于佛山市三水区看守所。</w:t>
      </w:r>
    </w:p>
    <w:p w14:paraId="78F2A4E3" w14:textId="77777777" w:rsidR="0005240F" w:rsidRDefault="0005240F">
      <w:pPr>
        <w:spacing w:line="500" w:lineRule="atLeast"/>
        <w:ind w:firstLine="600"/>
        <w:divId w:val="2062247223"/>
        <w:rPr>
          <w:rFonts w:hint="eastAsia"/>
          <w:sz w:val="30"/>
          <w:szCs w:val="30"/>
        </w:rPr>
      </w:pPr>
      <w:r>
        <w:rPr>
          <w:rFonts w:hint="eastAsia"/>
          <w:sz w:val="30"/>
          <w:szCs w:val="30"/>
        </w:rPr>
        <w:t>佛山市三水区人民检察院以佛三检刑诉（</w:t>
      </w:r>
      <w:r>
        <w:rPr>
          <w:rFonts w:hint="eastAsia"/>
          <w:sz w:val="30"/>
          <w:szCs w:val="30"/>
        </w:rPr>
        <w:t>2014</w:t>
      </w:r>
      <w:r>
        <w:rPr>
          <w:rFonts w:hint="eastAsia"/>
          <w:sz w:val="30"/>
          <w:szCs w:val="30"/>
        </w:rPr>
        <w:t>）</w:t>
      </w:r>
      <w:r>
        <w:rPr>
          <w:rFonts w:hint="eastAsia"/>
          <w:sz w:val="30"/>
          <w:szCs w:val="30"/>
        </w:rPr>
        <w:t>446</w:t>
      </w:r>
      <w:r>
        <w:rPr>
          <w:rFonts w:hint="eastAsia"/>
          <w:sz w:val="30"/>
          <w:szCs w:val="30"/>
        </w:rPr>
        <w:t>号起诉书指控被告人韩春英犯贪污罪，于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日向本院提起公诉。本院依法组成合议庭，公开开庭审理了本案。佛山市三水区人民检察院指派检察员陈敏出庭支持公诉，被告人韩春英到庭参加诉讼。现已审理终结。</w:t>
      </w:r>
    </w:p>
    <w:p w14:paraId="0FAC9599" w14:textId="77777777" w:rsidR="0005240F" w:rsidRDefault="0005240F">
      <w:pPr>
        <w:spacing w:line="500" w:lineRule="atLeast"/>
        <w:ind w:firstLine="600"/>
        <w:divId w:val="515388525"/>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被告人韩春英利用自己担任佛山市三水区西南街道办事处社会工作局办事员的职务之便，在负责计发西南街道高龄津贴及重度残疾人托养补贴的过程中，为不符合领取上述补贴条件的父母韩某春、李某凤，家公黄某来、家婆吴某英及丈夫黄某编造三水居民身份证号码及本地住址后，多次将上述五人的名单混入符合领取条件人员的名单中，将共计人民币</w:t>
      </w:r>
      <w:r>
        <w:rPr>
          <w:rFonts w:hint="eastAsia"/>
          <w:sz w:val="30"/>
          <w:szCs w:val="30"/>
        </w:rPr>
        <w:t>154950</w:t>
      </w:r>
      <w:r>
        <w:rPr>
          <w:rFonts w:hint="eastAsia"/>
          <w:sz w:val="30"/>
          <w:szCs w:val="30"/>
        </w:rPr>
        <w:t>元的高龄津贴及重度残疾人托养补贴发放到上述五人账户后，将该款非法占有。</w:t>
      </w:r>
    </w:p>
    <w:p w14:paraId="6AF3CF3E" w14:textId="77777777" w:rsidR="0005240F" w:rsidRDefault="0005240F">
      <w:pPr>
        <w:spacing w:line="500" w:lineRule="atLeast"/>
        <w:ind w:firstLine="600"/>
        <w:divId w:val="1438209506"/>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月，被告人韩春英因工作交接被单位发现其上述违法行为，同年</w:t>
      </w:r>
      <w:r>
        <w:rPr>
          <w:rFonts w:hint="eastAsia"/>
          <w:sz w:val="30"/>
          <w:szCs w:val="30"/>
        </w:rPr>
        <w:t>11</w:t>
      </w:r>
      <w:r>
        <w:rPr>
          <w:rFonts w:hint="eastAsia"/>
          <w:sz w:val="30"/>
          <w:szCs w:val="30"/>
        </w:rPr>
        <w:t>月份，被告人韩春英将</w:t>
      </w:r>
      <w:r>
        <w:rPr>
          <w:rFonts w:hint="eastAsia"/>
          <w:sz w:val="30"/>
          <w:szCs w:val="30"/>
        </w:rPr>
        <w:t>154950</w:t>
      </w:r>
      <w:r>
        <w:rPr>
          <w:rFonts w:hint="eastAsia"/>
          <w:sz w:val="30"/>
          <w:szCs w:val="30"/>
        </w:rPr>
        <w:t>元退回三水区西南街道办事处社会工作局的账户。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日，被告人韩春英到佛山市三水区人民检察院反贪污贿赂局投案。</w:t>
      </w:r>
    </w:p>
    <w:p w14:paraId="2662745D" w14:textId="77777777" w:rsidR="0005240F" w:rsidRDefault="0005240F">
      <w:pPr>
        <w:spacing w:line="500" w:lineRule="atLeast"/>
        <w:ind w:firstLine="600"/>
        <w:divId w:val="1510099204"/>
        <w:rPr>
          <w:rFonts w:hint="eastAsia"/>
          <w:sz w:val="30"/>
          <w:szCs w:val="30"/>
        </w:rPr>
      </w:pPr>
      <w:r>
        <w:rPr>
          <w:rFonts w:hint="eastAsia"/>
          <w:sz w:val="30"/>
          <w:szCs w:val="30"/>
        </w:rPr>
        <w:lastRenderedPageBreak/>
        <w:t>上述事实，被告人韩春英在开庭审理过程中不持异议，且有公诉机关提供的被告人韩春英的供述，证人黄某、黄某来、吴某英、韩某春、李某凤、罗某芳、陈某妍、谢某、王某茂、何某南、罗某幸的证言，辨认笔录，农村信用合作联社银行开户资料，银行账户流水帐，取款凭证，高龄津贴名单及银行批量代收付明细清单，三水区重度残疾人托养工程实施细则，三水区高龄津贴发放实施方案，关于韩春英问题发现经过的情况汇报，关于黄某来等五人退款情况说明，到案经过，户籍资料等证据证实，足以认定，本院予以确认。</w:t>
      </w:r>
    </w:p>
    <w:p w14:paraId="2A16CA8F" w14:textId="77777777" w:rsidR="0005240F" w:rsidRDefault="0005240F">
      <w:pPr>
        <w:spacing w:line="500" w:lineRule="atLeast"/>
        <w:ind w:firstLine="600"/>
        <w:divId w:val="706950990"/>
        <w:rPr>
          <w:rFonts w:hint="eastAsia"/>
          <w:sz w:val="30"/>
          <w:szCs w:val="30"/>
        </w:rPr>
      </w:pPr>
      <w:r>
        <w:rPr>
          <w:rFonts w:hint="eastAsia"/>
          <w:sz w:val="30"/>
          <w:szCs w:val="30"/>
        </w:rPr>
        <w:t>本院认为，被告人韩春英无视国家法律，作为依法从事公务的国家工作人员，利用职务上的便利，骗取、侵占公款人民币</w:t>
      </w:r>
      <w:r>
        <w:rPr>
          <w:rFonts w:hint="eastAsia"/>
          <w:sz w:val="30"/>
          <w:szCs w:val="30"/>
        </w:rPr>
        <w:t>154950</w:t>
      </w:r>
      <w:r>
        <w:rPr>
          <w:rFonts w:hint="eastAsia"/>
          <w:sz w:val="30"/>
          <w:szCs w:val="30"/>
        </w:rPr>
        <w:t>元，其行为已构成贪污罪，应依法惩处。公诉机关所控罪名成立，本院予以采纳。被告人韩春英在犯罪后能主动投案并如实供述其罪行，是自首，且在案发后已退回赃款，本院依法对其减轻处罚。根据被告人韩春英犯罪的事实、性质、情节和社会危害程度，依照《中华人民共和国刑法》第三百八十二条第一款、第三百八十三条第一款第（一）项、第六十七条第一款、第四十七条、第五十九条的规定，判决如下：</w:t>
      </w:r>
    </w:p>
    <w:p w14:paraId="4765A152" w14:textId="77777777" w:rsidR="0005240F" w:rsidRDefault="0005240F">
      <w:pPr>
        <w:spacing w:line="500" w:lineRule="atLeast"/>
        <w:ind w:firstLine="600"/>
        <w:divId w:val="820120870"/>
        <w:rPr>
          <w:rFonts w:hint="eastAsia"/>
          <w:sz w:val="30"/>
          <w:szCs w:val="30"/>
        </w:rPr>
      </w:pPr>
      <w:r>
        <w:rPr>
          <w:rFonts w:hint="eastAsia"/>
          <w:sz w:val="30"/>
          <w:szCs w:val="30"/>
        </w:rPr>
        <w:t>被告人韩春英犯贪污罪，判处有期徒刑五年，并处没收财产人民币</w:t>
      </w:r>
      <w:r>
        <w:rPr>
          <w:rFonts w:hint="eastAsia"/>
          <w:sz w:val="30"/>
          <w:szCs w:val="30"/>
        </w:rPr>
        <w:t>5</w:t>
      </w:r>
      <w:r>
        <w:rPr>
          <w:rFonts w:hint="eastAsia"/>
          <w:sz w:val="30"/>
          <w:szCs w:val="30"/>
        </w:rPr>
        <w:t>万元。</w:t>
      </w:r>
    </w:p>
    <w:p w14:paraId="20EAAAAC" w14:textId="77777777" w:rsidR="0005240F" w:rsidRDefault="0005240F">
      <w:pPr>
        <w:spacing w:line="500" w:lineRule="atLeast"/>
        <w:ind w:firstLine="600"/>
        <w:divId w:val="182585062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日止。没收的财产自判决生效之日起</w:t>
      </w:r>
      <w:r>
        <w:rPr>
          <w:rFonts w:hint="eastAsia"/>
          <w:sz w:val="30"/>
          <w:szCs w:val="30"/>
        </w:rPr>
        <w:t>30</w:t>
      </w:r>
      <w:r>
        <w:rPr>
          <w:rFonts w:hint="eastAsia"/>
          <w:sz w:val="30"/>
          <w:szCs w:val="30"/>
        </w:rPr>
        <w:t>日内缴纳。）</w:t>
      </w:r>
    </w:p>
    <w:p w14:paraId="65A240D4" w14:textId="77777777" w:rsidR="0005240F" w:rsidRDefault="0005240F">
      <w:pPr>
        <w:spacing w:line="500" w:lineRule="atLeast"/>
        <w:ind w:firstLine="600"/>
        <w:divId w:val="206486384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1C9DF5A3" w14:textId="77777777" w:rsidR="0005240F" w:rsidRDefault="0005240F">
      <w:pPr>
        <w:spacing w:line="500" w:lineRule="atLeast"/>
        <w:jc w:val="right"/>
        <w:divId w:val="1421834830"/>
        <w:rPr>
          <w:rFonts w:hint="eastAsia"/>
          <w:sz w:val="30"/>
          <w:szCs w:val="30"/>
        </w:rPr>
      </w:pPr>
      <w:r>
        <w:rPr>
          <w:rFonts w:hint="eastAsia"/>
          <w:sz w:val="30"/>
          <w:szCs w:val="30"/>
        </w:rPr>
        <w:t>审　判　长　　徐晓光</w:t>
      </w:r>
    </w:p>
    <w:p w14:paraId="72E521EA" w14:textId="77777777" w:rsidR="0005240F" w:rsidRDefault="0005240F">
      <w:pPr>
        <w:spacing w:line="500" w:lineRule="atLeast"/>
        <w:jc w:val="right"/>
        <w:divId w:val="1055273118"/>
        <w:rPr>
          <w:rFonts w:hint="eastAsia"/>
          <w:sz w:val="30"/>
          <w:szCs w:val="30"/>
        </w:rPr>
      </w:pPr>
      <w:r>
        <w:rPr>
          <w:rFonts w:hint="eastAsia"/>
          <w:sz w:val="30"/>
          <w:szCs w:val="30"/>
        </w:rPr>
        <w:t>人民陪审员　　何永权</w:t>
      </w:r>
    </w:p>
    <w:p w14:paraId="5B52F495" w14:textId="77777777" w:rsidR="0005240F" w:rsidRDefault="0005240F">
      <w:pPr>
        <w:spacing w:line="500" w:lineRule="atLeast"/>
        <w:jc w:val="right"/>
        <w:divId w:val="605383464"/>
        <w:rPr>
          <w:rFonts w:hint="eastAsia"/>
          <w:sz w:val="30"/>
          <w:szCs w:val="30"/>
        </w:rPr>
      </w:pPr>
      <w:r>
        <w:rPr>
          <w:rFonts w:hint="eastAsia"/>
          <w:sz w:val="30"/>
          <w:szCs w:val="30"/>
        </w:rPr>
        <w:t>人民陪审员　　蔡若雄</w:t>
      </w:r>
    </w:p>
    <w:p w14:paraId="187DEB99" w14:textId="77777777" w:rsidR="0005240F" w:rsidRDefault="0005240F">
      <w:pPr>
        <w:spacing w:line="500" w:lineRule="atLeast"/>
        <w:jc w:val="right"/>
        <w:divId w:val="79060086"/>
        <w:rPr>
          <w:rFonts w:hint="eastAsia"/>
          <w:sz w:val="30"/>
          <w:szCs w:val="30"/>
        </w:rPr>
      </w:pPr>
      <w:r>
        <w:rPr>
          <w:rFonts w:hint="eastAsia"/>
          <w:sz w:val="30"/>
          <w:szCs w:val="30"/>
        </w:rPr>
        <w:t>二〇一四年十二月三十一日</w:t>
      </w:r>
    </w:p>
    <w:p w14:paraId="31C3FC8A" w14:textId="77777777" w:rsidR="0005240F" w:rsidRDefault="0005240F">
      <w:pPr>
        <w:spacing w:line="500" w:lineRule="atLeast"/>
        <w:jc w:val="right"/>
        <w:divId w:val="1029988539"/>
        <w:rPr>
          <w:rFonts w:hint="eastAsia"/>
          <w:sz w:val="30"/>
          <w:szCs w:val="30"/>
        </w:rPr>
      </w:pPr>
      <w:r>
        <w:rPr>
          <w:rFonts w:hint="eastAsia"/>
          <w:sz w:val="30"/>
          <w:szCs w:val="30"/>
        </w:rPr>
        <w:t>书　记　员　　李秋云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EF274" w14:textId="77777777" w:rsidR="0005240F" w:rsidRDefault="0005240F" w:rsidP="0005240F">
      <w:pPr>
        <w:rPr>
          <w:rFonts w:hint="eastAsia"/>
        </w:rPr>
      </w:pPr>
      <w:r>
        <w:separator/>
      </w:r>
    </w:p>
  </w:endnote>
  <w:endnote w:type="continuationSeparator" w:id="0">
    <w:p w14:paraId="778A0519" w14:textId="77777777" w:rsidR="0005240F" w:rsidRDefault="0005240F" w:rsidP="000524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73ACB" w14:textId="77777777" w:rsidR="0005240F" w:rsidRDefault="0005240F" w:rsidP="0005240F">
      <w:pPr>
        <w:rPr>
          <w:rFonts w:hint="eastAsia"/>
        </w:rPr>
      </w:pPr>
      <w:r>
        <w:separator/>
      </w:r>
    </w:p>
  </w:footnote>
  <w:footnote w:type="continuationSeparator" w:id="0">
    <w:p w14:paraId="5736D99A" w14:textId="77777777" w:rsidR="0005240F" w:rsidRDefault="0005240F" w:rsidP="000524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240F"/>
    <w:rsid w:val="0005240F"/>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C0973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240F"/>
    <w:pPr>
      <w:tabs>
        <w:tab w:val="center" w:pos="4153"/>
        <w:tab w:val="right" w:pos="8306"/>
      </w:tabs>
      <w:snapToGrid w:val="0"/>
      <w:jc w:val="center"/>
    </w:pPr>
    <w:rPr>
      <w:sz w:val="18"/>
      <w:szCs w:val="18"/>
    </w:rPr>
  </w:style>
  <w:style w:type="character" w:customStyle="1" w:styleId="a4">
    <w:name w:val="页眉 字符"/>
    <w:basedOn w:val="a0"/>
    <w:link w:val="a3"/>
    <w:uiPriority w:val="99"/>
    <w:rsid w:val="0005240F"/>
    <w:rPr>
      <w:rFonts w:ascii="宋体" w:eastAsia="宋体" w:hAnsi="宋体" w:cs="宋体"/>
      <w:sz w:val="18"/>
      <w:szCs w:val="18"/>
    </w:rPr>
  </w:style>
  <w:style w:type="paragraph" w:styleId="a5">
    <w:name w:val="footer"/>
    <w:basedOn w:val="a"/>
    <w:link w:val="a6"/>
    <w:uiPriority w:val="99"/>
    <w:unhideWhenUsed/>
    <w:rsid w:val="0005240F"/>
    <w:pPr>
      <w:tabs>
        <w:tab w:val="center" w:pos="4153"/>
        <w:tab w:val="right" w:pos="8306"/>
      </w:tabs>
      <w:snapToGrid w:val="0"/>
    </w:pPr>
    <w:rPr>
      <w:sz w:val="18"/>
      <w:szCs w:val="18"/>
    </w:rPr>
  </w:style>
  <w:style w:type="character" w:customStyle="1" w:styleId="a6">
    <w:name w:val="页脚 字符"/>
    <w:basedOn w:val="a0"/>
    <w:link w:val="a5"/>
    <w:uiPriority w:val="99"/>
    <w:rsid w:val="000524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60086">
      <w:marLeft w:val="0"/>
      <w:marRight w:val="720"/>
      <w:marTop w:val="10"/>
      <w:marBottom w:val="10"/>
      <w:divBdr>
        <w:top w:val="none" w:sz="0" w:space="0" w:color="auto"/>
        <w:left w:val="none" w:sz="0" w:space="0" w:color="auto"/>
        <w:bottom w:val="none" w:sz="0" w:space="0" w:color="auto"/>
        <w:right w:val="none" w:sz="0" w:space="0" w:color="auto"/>
      </w:divBdr>
    </w:div>
    <w:div w:id="515388525">
      <w:marLeft w:val="0"/>
      <w:marRight w:val="0"/>
      <w:marTop w:val="10"/>
      <w:marBottom w:val="10"/>
      <w:divBdr>
        <w:top w:val="none" w:sz="0" w:space="0" w:color="auto"/>
        <w:left w:val="none" w:sz="0" w:space="0" w:color="auto"/>
        <w:bottom w:val="none" w:sz="0" w:space="0" w:color="auto"/>
        <w:right w:val="none" w:sz="0" w:space="0" w:color="auto"/>
      </w:divBdr>
    </w:div>
    <w:div w:id="605383464">
      <w:marLeft w:val="0"/>
      <w:marRight w:val="720"/>
      <w:marTop w:val="10"/>
      <w:marBottom w:val="10"/>
      <w:divBdr>
        <w:top w:val="none" w:sz="0" w:space="0" w:color="auto"/>
        <w:left w:val="none" w:sz="0" w:space="0" w:color="auto"/>
        <w:bottom w:val="none" w:sz="0" w:space="0" w:color="auto"/>
        <w:right w:val="none" w:sz="0" w:space="0" w:color="auto"/>
      </w:divBdr>
    </w:div>
    <w:div w:id="706950990">
      <w:marLeft w:val="0"/>
      <w:marRight w:val="0"/>
      <w:marTop w:val="10"/>
      <w:marBottom w:val="10"/>
      <w:divBdr>
        <w:top w:val="none" w:sz="0" w:space="0" w:color="auto"/>
        <w:left w:val="none" w:sz="0" w:space="0" w:color="auto"/>
        <w:bottom w:val="none" w:sz="0" w:space="0" w:color="auto"/>
        <w:right w:val="none" w:sz="0" w:space="0" w:color="auto"/>
      </w:divBdr>
    </w:div>
    <w:div w:id="820120870">
      <w:marLeft w:val="0"/>
      <w:marRight w:val="0"/>
      <w:marTop w:val="10"/>
      <w:marBottom w:val="10"/>
      <w:divBdr>
        <w:top w:val="none" w:sz="0" w:space="0" w:color="auto"/>
        <w:left w:val="none" w:sz="0" w:space="0" w:color="auto"/>
        <w:bottom w:val="none" w:sz="0" w:space="0" w:color="auto"/>
        <w:right w:val="none" w:sz="0" w:space="0" w:color="auto"/>
      </w:divBdr>
    </w:div>
    <w:div w:id="1029988539">
      <w:marLeft w:val="0"/>
      <w:marRight w:val="720"/>
      <w:marTop w:val="10"/>
      <w:marBottom w:val="10"/>
      <w:divBdr>
        <w:top w:val="none" w:sz="0" w:space="0" w:color="auto"/>
        <w:left w:val="none" w:sz="0" w:space="0" w:color="auto"/>
        <w:bottom w:val="none" w:sz="0" w:space="0" w:color="auto"/>
        <w:right w:val="none" w:sz="0" w:space="0" w:color="auto"/>
      </w:divBdr>
    </w:div>
    <w:div w:id="1055273118">
      <w:marLeft w:val="0"/>
      <w:marRight w:val="720"/>
      <w:marTop w:val="10"/>
      <w:marBottom w:val="10"/>
      <w:divBdr>
        <w:top w:val="none" w:sz="0" w:space="0" w:color="auto"/>
        <w:left w:val="none" w:sz="0" w:space="0" w:color="auto"/>
        <w:bottom w:val="none" w:sz="0" w:space="0" w:color="auto"/>
        <w:right w:val="none" w:sz="0" w:space="0" w:color="auto"/>
      </w:divBdr>
    </w:div>
    <w:div w:id="1150251690">
      <w:marLeft w:val="0"/>
      <w:marRight w:val="0"/>
      <w:marTop w:val="10"/>
      <w:marBottom w:val="10"/>
      <w:divBdr>
        <w:top w:val="none" w:sz="0" w:space="0" w:color="auto"/>
        <w:left w:val="none" w:sz="0" w:space="0" w:color="auto"/>
        <w:bottom w:val="none" w:sz="0" w:space="0" w:color="auto"/>
        <w:right w:val="none" w:sz="0" w:space="0" w:color="auto"/>
      </w:divBdr>
    </w:div>
    <w:div w:id="1394698807">
      <w:marLeft w:val="0"/>
      <w:marRight w:val="0"/>
      <w:marTop w:val="10"/>
      <w:marBottom w:val="10"/>
      <w:divBdr>
        <w:top w:val="none" w:sz="0" w:space="0" w:color="auto"/>
        <w:left w:val="none" w:sz="0" w:space="0" w:color="auto"/>
        <w:bottom w:val="none" w:sz="0" w:space="0" w:color="auto"/>
        <w:right w:val="none" w:sz="0" w:space="0" w:color="auto"/>
      </w:divBdr>
    </w:div>
    <w:div w:id="1421834830">
      <w:marLeft w:val="0"/>
      <w:marRight w:val="720"/>
      <w:marTop w:val="10"/>
      <w:marBottom w:val="10"/>
      <w:divBdr>
        <w:top w:val="none" w:sz="0" w:space="0" w:color="auto"/>
        <w:left w:val="none" w:sz="0" w:space="0" w:color="auto"/>
        <w:bottom w:val="none" w:sz="0" w:space="0" w:color="auto"/>
        <w:right w:val="none" w:sz="0" w:space="0" w:color="auto"/>
      </w:divBdr>
    </w:div>
    <w:div w:id="1438209506">
      <w:marLeft w:val="0"/>
      <w:marRight w:val="0"/>
      <w:marTop w:val="10"/>
      <w:marBottom w:val="10"/>
      <w:divBdr>
        <w:top w:val="none" w:sz="0" w:space="0" w:color="auto"/>
        <w:left w:val="none" w:sz="0" w:space="0" w:color="auto"/>
        <w:bottom w:val="none" w:sz="0" w:space="0" w:color="auto"/>
        <w:right w:val="none" w:sz="0" w:space="0" w:color="auto"/>
      </w:divBdr>
    </w:div>
    <w:div w:id="1510099204">
      <w:marLeft w:val="0"/>
      <w:marRight w:val="0"/>
      <w:marTop w:val="10"/>
      <w:marBottom w:val="10"/>
      <w:divBdr>
        <w:top w:val="none" w:sz="0" w:space="0" w:color="auto"/>
        <w:left w:val="none" w:sz="0" w:space="0" w:color="auto"/>
        <w:bottom w:val="none" w:sz="0" w:space="0" w:color="auto"/>
        <w:right w:val="none" w:sz="0" w:space="0" w:color="auto"/>
      </w:divBdr>
    </w:div>
    <w:div w:id="1645305819">
      <w:marLeft w:val="0"/>
      <w:marRight w:val="0"/>
      <w:marTop w:val="10"/>
      <w:marBottom w:val="10"/>
      <w:divBdr>
        <w:top w:val="none" w:sz="0" w:space="0" w:color="auto"/>
        <w:left w:val="none" w:sz="0" w:space="0" w:color="auto"/>
        <w:bottom w:val="none" w:sz="0" w:space="0" w:color="auto"/>
        <w:right w:val="none" w:sz="0" w:space="0" w:color="auto"/>
      </w:divBdr>
    </w:div>
    <w:div w:id="1825850623">
      <w:marLeft w:val="0"/>
      <w:marRight w:val="0"/>
      <w:marTop w:val="10"/>
      <w:marBottom w:val="10"/>
      <w:divBdr>
        <w:top w:val="none" w:sz="0" w:space="0" w:color="auto"/>
        <w:left w:val="none" w:sz="0" w:space="0" w:color="auto"/>
        <w:bottom w:val="none" w:sz="0" w:space="0" w:color="auto"/>
        <w:right w:val="none" w:sz="0" w:space="0" w:color="auto"/>
      </w:divBdr>
    </w:div>
    <w:div w:id="1978415860">
      <w:marLeft w:val="0"/>
      <w:marRight w:val="0"/>
      <w:marTop w:val="10"/>
      <w:marBottom w:val="10"/>
      <w:divBdr>
        <w:top w:val="none" w:sz="0" w:space="0" w:color="auto"/>
        <w:left w:val="none" w:sz="0" w:space="0" w:color="auto"/>
        <w:bottom w:val="none" w:sz="0" w:space="0" w:color="auto"/>
        <w:right w:val="none" w:sz="0" w:space="0" w:color="auto"/>
      </w:divBdr>
    </w:div>
    <w:div w:id="2062247223">
      <w:marLeft w:val="0"/>
      <w:marRight w:val="0"/>
      <w:marTop w:val="10"/>
      <w:marBottom w:val="10"/>
      <w:divBdr>
        <w:top w:val="none" w:sz="0" w:space="0" w:color="auto"/>
        <w:left w:val="none" w:sz="0" w:space="0" w:color="auto"/>
        <w:bottom w:val="none" w:sz="0" w:space="0" w:color="auto"/>
        <w:right w:val="none" w:sz="0" w:space="0" w:color="auto"/>
      </w:divBdr>
    </w:div>
    <w:div w:id="2064863847">
      <w:marLeft w:val="0"/>
      <w:marRight w:val="0"/>
      <w:marTop w:val="10"/>
      <w:marBottom w:val="10"/>
      <w:divBdr>
        <w:top w:val="none" w:sz="0" w:space="0" w:color="auto"/>
        <w:left w:val="none" w:sz="0" w:space="0" w:color="auto"/>
        <w:bottom w:val="none" w:sz="0" w:space="0" w:color="auto"/>
        <w:right w:val="none" w:sz="0" w:space="0" w:color="auto"/>
      </w:divBdr>
    </w:div>
    <w:div w:id="20708093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199</Words>
  <Characters>1137</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