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C2024"/>
          <w:sz w:val="44"/>
          <w:szCs w:val="44"/>
        </w:rPr>
        <w:t xml:space="preserve">Why Synthetic Biology Matters</w:t>
      </w:r>
    </w:p>
    <w:p>
      <w:pPr>
        <w:spacing w:after="240"/>
      </w:pPr>
      <w:r>
        <w:rPr>
          <w:color w:val="0D74CE"/>
          <w:sz w:val="28"/>
          <w:szCs w:val="28"/>
        </w:rPr>
        <w:t xml:space="preserve">Session outline and technical notes, 45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Mar>
              <w:top w:type="dxa" w:w="90"/>
              <w:left w:type="dxa" w:w="130"/>
              <w:bottom w:type="dxa" w:w="90"/>
              <w:right w:type="dxa" w:w="130"/>
            </w:tcMar>
          </w:tcPr>
          <w:p>
            <w:pPr>
              <w:spacing w:after="0" w:line="260"/>
            </w:pPr>
            <w:r>
              <w:rPr>
                <w:b w:val="false"/>
                <w:bCs w:val="false"/>
              </w:rPr>
              <w:t xml:space="preserve">Date and time</w:t>
            </w:r>
          </w:p>
        </w:tc>
        <w:tc>
          <w:tcPr>
            <w:tcW w:type="dxa" w:w="7160"/>
            <w:tcMar>
              <w:top w:type="dxa" w:w="90"/>
              <w:left w:type="dxa" w:w="130"/>
              <w:bottom w:type="dxa" w:w="90"/>
              <w:right w:type="dxa" w:w="130"/>
            </w:tcMar>
          </w:tcPr>
          <w:p>
            <w:pPr>
              <w:spacing w:after="0" w:line="260"/>
            </w:pPr>
            <w:r>
              <w:rPr>
                <w:b w:val="false"/>
                <w:bCs w:val="false"/>
              </w:rPr>
              <w:t xml:space="preserve">Tuesday 28 October 2026, 8.15 to 9.00am</w:t>
            </w:r>
          </w:p>
        </w:tc>
      </w:tr>
      <w:tr>
        <w:tc>
          <w:tcPr>
            <w:tcW w:type="dxa" w:w="2200"/>
            <w:tcMar>
              <w:top w:type="dxa" w:w="90"/>
              <w:left w:type="dxa" w:w="130"/>
              <w:bottom w:type="dxa" w:w="90"/>
              <w:right w:type="dxa" w:w="130"/>
            </w:tcMar>
          </w:tcPr>
          <w:p>
            <w:pPr>
              <w:spacing w:after="0" w:line="260"/>
            </w:pPr>
            <w:r>
              <w:rPr>
                <w:b w:val="false"/>
                <w:bCs w:val="false"/>
              </w:rPr>
              <w:t xml:space="preserve">Audience</w:t>
            </w:r>
          </w:p>
        </w:tc>
        <w:tc>
          <w:tcPr>
            <w:tcW w:type="dxa" w:w="7160"/>
            <w:tcMar>
              <w:top w:type="dxa" w:w="90"/>
              <w:left w:type="dxa" w:w="130"/>
              <w:bottom w:type="dxa" w:w="90"/>
              <w:right w:type="dxa" w:w="130"/>
            </w:tcMar>
          </w:tcPr>
          <w:p>
            <w:pPr>
              <w:spacing w:after="0" w:line="260"/>
            </w:pPr>
            <w:r>
              <w:rPr>
                <w:b w:val="false"/>
                <w:bCs w:val="false"/>
              </w:rPr>
              <w:t xml:space="preserve">Approximately 200 Year 4 students, School of the Arts</w:t>
            </w:r>
          </w:p>
        </w:tc>
      </w:tr>
      <w:tr>
        <w:tc>
          <w:tcPr>
            <w:tcW w:type="dxa" w:w="2200"/>
            <w:tcMar>
              <w:top w:type="dxa" w:w="90"/>
              <w:left w:type="dxa" w:w="130"/>
              <w:bottom w:type="dxa" w:w="90"/>
              <w:right w:type="dxa" w:w="130"/>
            </w:tcMar>
          </w:tcPr>
          <w:p>
            <w:pPr>
              <w:spacing w:after="0" w:line="260"/>
            </w:pPr>
            <w:r>
              <w:rPr>
                <w:b w:val="false"/>
                <w:bCs w:val="false"/>
              </w:rPr>
              <w:t xml:space="preserve">Occasion</w:t>
            </w:r>
          </w:p>
        </w:tc>
        <w:tc>
          <w:tcPr>
            <w:tcW w:type="dxa" w:w="7160"/>
            <w:tcMar>
              <w:top w:type="dxa" w:w="90"/>
              <w:left w:type="dxa" w:w="130"/>
              <w:bottom w:type="dxa" w:w="90"/>
              <w:right w:type="dxa" w:w="130"/>
            </w:tcMar>
          </w:tcPr>
          <w:p>
            <w:pPr>
              <w:spacing w:after="0" w:line="260"/>
            </w:pPr>
            <w:r>
              <w:rPr>
                <w:b w:val="false"/>
                <w:bCs w:val="false"/>
              </w:rPr>
              <w:t xml:space="preserve">Opening session, two day Sustainability in Science programme</w:t>
            </w:r>
          </w:p>
        </w:tc>
      </w:tr>
      <w:tr>
        <w:tc>
          <w:tcPr>
            <w:tcW w:type="dxa" w:w="2200"/>
            <w:tcMar>
              <w:top w:type="dxa" w:w="90"/>
              <w:left w:type="dxa" w:w="130"/>
              <w:bottom w:type="dxa" w:w="90"/>
              <w:right w:type="dxa" w:w="130"/>
            </w:tcMar>
          </w:tcPr>
          <w:p>
            <w:pPr>
              <w:spacing w:after="0" w:line="260"/>
            </w:pPr>
            <w:r>
              <w:rPr>
                <w:b w:val="false"/>
                <w:bCs w:val="false"/>
              </w:rPr>
              <w:t xml:space="preserve">Topic as set</w:t>
            </w:r>
          </w:p>
        </w:tc>
        <w:tc>
          <w:tcPr>
            <w:tcW w:type="dxa" w:w="7160"/>
            <w:tcMar>
              <w:top w:type="dxa" w:w="90"/>
              <w:left w:type="dxa" w:w="130"/>
              <w:bottom w:type="dxa" w:w="90"/>
              <w:right w:type="dxa" w:w="130"/>
            </w:tcMar>
          </w:tcPr>
          <w:p>
            <w:pPr>
              <w:spacing w:after="0" w:line="260"/>
            </w:pPr>
            <w:r>
              <w:rPr>
                <w:b w:val="false"/>
                <w:bCs w:val="false"/>
              </w:rPr>
              <w:t xml:space="preserve">General introduction to synthetic biology: why does it matter?</w:t>
            </w:r>
          </w:p>
        </w:tc>
      </w:tr>
      <w:tr>
        <w:tc>
          <w:tcPr>
            <w:tcW w:type="dxa" w:w="2200"/>
            <w:tcMar>
              <w:top w:type="dxa" w:w="90"/>
              <w:left w:type="dxa" w:w="130"/>
              <w:bottom w:type="dxa" w:w="90"/>
              <w:right w:type="dxa" w:w="130"/>
            </w:tcMar>
          </w:tcPr>
          <w:p>
            <w:pPr>
              <w:spacing w:after="0" w:line="260"/>
            </w:pPr>
            <w:r>
              <w:rPr>
                <w:b w:val="false"/>
                <w:bCs w:val="false"/>
              </w:rPr>
              <w:t xml:space="preserve">Presented by</w:t>
            </w:r>
          </w:p>
        </w:tc>
        <w:tc>
          <w:tcPr>
            <w:tcW w:type="dxa" w:w="7160"/>
            <w:tcMar>
              <w:top w:type="dxa" w:w="90"/>
              <w:left w:type="dxa" w:w="130"/>
              <w:bottom w:type="dxa" w:w="90"/>
              <w:right w:type="dxa" w:w="130"/>
            </w:tcMar>
          </w:tcPr>
          <w:p>
            <w:pPr>
              <w:spacing w:after="0" w:line="260"/>
            </w:pPr>
            <w:r>
              <w:rPr>
                <w:b w:val="false"/>
                <w:bCs w:val="false"/>
              </w:rPr>
              <w:t xml:space="preserve">NUS High School of Mathematics and Science, iGEM 2026</w:t>
            </w:r>
          </w:p>
        </w:tc>
      </w:tr>
    </w:tbl>
    <w:p>
      <w:pPr>
        <w:pBdr>
          <w:bottom w:val="single" w:color="D9D9E0" w:sz="6" w:space="1"/>
        </w:pBdr>
        <w:spacing w:after="240" w:before="220"/>
      </w:pPr>
    </w:p>
    <w:p>
      <w:pPr>
        <w:pStyle w:val="Heading1"/>
      </w:pPr>
      <w:r>
        <w:t xml:space="preserve">The Premise</w:t>
      </w:r>
    </w:p>
    <w:p>
      <w:pPr>
        <w:spacing w:after="160" w:line="288"/>
      </w:pPr>
      <w:r>
        <w:t xml:space="preserve">Our problems are largely biological problems: nitrogen supply, materials, diagnostics, polymer waste. We solve nearly all of them by thermochemical means, at high temperature and pressure, from petrochemical or mined feedstock.</w:t>
      </w:r>
    </w:p>
    <w:p>
      <w:pPr>
        <w:spacing w:after="160" w:line="288"/>
      </w:pPr>
      <w:r>
        <w:t xml:space="preserve">Biology performs several of the same transformations at ambient temperature and pressure in aqueous solution, using enzymes that are already characterised and whose genes are already sequenced. The constraint has never been the chemistry. It has been our ability to specify and transfer the genetic programme that produces it.</w:t>
      </w:r>
    </w:p>
    <w:p>
      <w:pPr>
        <w:pStyle w:val="Heading1"/>
      </w:pPr>
      <w:r>
        <w:t xml:space="preserve">Structure and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rPr>
          <w:tblHeader/>
        </w:trPr>
        <w:tc>
          <w:tcPr>
            <w:tcW w:type="dxa" w:w="1000"/>
            <w:shd w:fill="F0F0F3" w:color="auto" w:val="clear"/>
            <w:tcMar>
              <w:top w:type="dxa" w:w="90"/>
              <w:left w:type="dxa" w:w="130"/>
              <w:bottom w:type="dxa" w:w="90"/>
              <w:right w:type="dxa" w:w="130"/>
            </w:tcMar>
          </w:tcPr>
          <w:p>
            <w:pPr>
              <w:spacing w:after="0" w:line="260"/>
            </w:pPr>
            <w:r>
              <w:rPr>
                <w:b/>
                <w:bCs/>
              </w:rPr>
              <w:t xml:space="preserve">Start</w:t>
            </w:r>
          </w:p>
        </w:tc>
        <w:tc>
          <w:tcPr>
            <w:tcW w:type="dxa" w:w="900"/>
            <w:shd w:fill="F0F0F3" w:color="auto" w:val="clear"/>
            <w:tcMar>
              <w:top w:type="dxa" w:w="90"/>
              <w:left w:type="dxa" w:w="130"/>
              <w:bottom w:type="dxa" w:w="90"/>
              <w:right w:type="dxa" w:w="130"/>
            </w:tcMar>
          </w:tcPr>
          <w:p>
            <w:pPr>
              <w:spacing w:after="0" w:line="260"/>
            </w:pPr>
            <w:r>
              <w:rPr>
                <w:b/>
                <w:bCs/>
              </w:rPr>
              <w:t xml:space="preserve">Length</w:t>
            </w:r>
          </w:p>
        </w:tc>
        <w:tc>
          <w:tcPr>
            <w:tcW w:type="dxa" w:w="7460"/>
            <w:shd w:fill="F0F0F3" w:color="auto" w:val="clear"/>
            <w:tcMar>
              <w:top w:type="dxa" w:w="90"/>
              <w:left w:type="dxa" w:w="130"/>
              <w:bottom w:type="dxa" w:w="90"/>
              <w:right w:type="dxa" w:w="130"/>
            </w:tcMar>
          </w:tcPr>
          <w:p>
            <w:pPr>
              <w:spacing w:after="0" w:line="260"/>
            </w:pPr>
            <w:r>
              <w:rPr>
                <w:b/>
                <w:bCs/>
              </w:rPr>
              <w:t xml:space="preserve">Segment</w:t>
            </w:r>
          </w:p>
        </w:tc>
      </w:tr>
      <w:tr>
        <w:tc>
          <w:tcPr>
            <w:tcW w:type="dxa" w:w="1000"/>
            <w:tcMar>
              <w:top w:type="dxa" w:w="90"/>
              <w:left w:type="dxa" w:w="130"/>
              <w:bottom w:type="dxa" w:w="90"/>
              <w:right w:type="dxa" w:w="130"/>
            </w:tcMar>
          </w:tcPr>
          <w:p>
            <w:pPr>
              <w:spacing w:after="0" w:line="260"/>
            </w:pPr>
            <w:r>
              <w:rPr>
                <w:b w:val="false"/>
                <w:bCs w:val="false"/>
              </w:rPr>
              <w:t xml:space="preserve">8.15</w:t>
            </w:r>
          </w:p>
        </w:tc>
        <w:tc>
          <w:tcPr>
            <w:tcW w:type="dxa" w:w="900"/>
            <w:tcMar>
              <w:top w:type="dxa" w:w="90"/>
              <w:left w:type="dxa" w:w="130"/>
              <w:bottom w:type="dxa" w:w="90"/>
              <w:right w:type="dxa" w:w="130"/>
            </w:tcMar>
          </w:tcPr>
          <w:p>
            <w:pPr>
              <w:spacing w:after="0" w:line="260"/>
            </w:pPr>
            <w:r>
              <w:rPr>
                <w:b w:val="false"/>
                <w:bCs w:val="false"/>
              </w:rPr>
              <w:t xml:space="preserve">2 min</w:t>
            </w:r>
          </w:p>
        </w:tc>
        <w:tc>
          <w:tcPr>
            <w:tcW w:type="dxa" w:w="7460"/>
            <w:tcMar>
              <w:top w:type="dxa" w:w="90"/>
              <w:left w:type="dxa" w:w="130"/>
              <w:bottom w:type="dxa" w:w="90"/>
              <w:right w:type="dxa" w:w="130"/>
            </w:tcMar>
          </w:tcPr>
          <w:p>
            <w:pPr>
              <w:spacing w:after="0" w:line="260"/>
            </w:pPr>
            <w:r>
              <w:rPr>
                <w:b w:val="false"/>
                <w:bCs w:val="false"/>
              </w:rPr>
              <w:t xml:space="preserve">Aggregate statistics from the student submissions</w:t>
            </w:r>
          </w:p>
        </w:tc>
      </w:tr>
      <w:tr>
        <w:tc>
          <w:tcPr>
            <w:tcW w:type="dxa" w:w="1000"/>
            <w:tcMar>
              <w:top w:type="dxa" w:w="90"/>
              <w:left w:type="dxa" w:w="130"/>
              <w:bottom w:type="dxa" w:w="90"/>
              <w:right w:type="dxa" w:w="130"/>
            </w:tcMar>
          </w:tcPr>
          <w:p>
            <w:pPr>
              <w:spacing w:after="0" w:line="260"/>
            </w:pPr>
            <w:r>
              <w:rPr>
                <w:b w:val="false"/>
                <w:bCs w:val="false"/>
              </w:rPr>
              <w:t xml:space="preserve">8.17</w:t>
            </w:r>
          </w:p>
        </w:tc>
        <w:tc>
          <w:tcPr>
            <w:tcW w:type="dxa" w:w="900"/>
            <w:tcMar>
              <w:top w:type="dxa" w:w="90"/>
              <w:left w:type="dxa" w:w="130"/>
              <w:bottom w:type="dxa" w:w="90"/>
              <w:right w:type="dxa" w:w="130"/>
            </w:tcMar>
          </w:tcPr>
          <w:p>
            <w:pPr>
              <w:spacing w:after="0" w:line="260"/>
            </w:pPr>
            <w:r>
              <w:rPr>
                <w:b w:val="false"/>
                <w:bCs w:val="false"/>
              </w:rPr>
              <w:t xml:space="preserve">4 min</w:t>
            </w:r>
          </w:p>
        </w:tc>
        <w:tc>
          <w:tcPr>
            <w:tcW w:type="dxa" w:w="7460"/>
            <w:tcMar>
              <w:top w:type="dxa" w:w="90"/>
              <w:left w:type="dxa" w:w="130"/>
              <w:bottom w:type="dxa" w:w="90"/>
              <w:right w:type="dxa" w:w="130"/>
            </w:tcMar>
          </w:tcPr>
          <w:p>
            <w:pPr>
              <w:spacing w:after="0" w:line="260"/>
            </w:pPr>
            <w:r>
              <w:rPr>
                <w:b w:val="false"/>
                <w:bCs w:val="false"/>
              </w:rPr>
              <w:t xml:space="preserve">The premise: ambient biosynthesis against thermochemical processing</w:t>
            </w:r>
          </w:p>
        </w:tc>
      </w:tr>
      <w:tr>
        <w:tc>
          <w:tcPr>
            <w:tcW w:type="dxa" w:w="1000"/>
            <w:tcMar>
              <w:top w:type="dxa" w:w="90"/>
              <w:left w:type="dxa" w:w="130"/>
              <w:bottom w:type="dxa" w:w="90"/>
              <w:right w:type="dxa" w:w="130"/>
            </w:tcMar>
          </w:tcPr>
          <w:p>
            <w:pPr>
              <w:spacing w:after="0" w:line="260"/>
            </w:pPr>
            <w:r>
              <w:rPr>
                <w:b w:val="false"/>
                <w:bCs w:val="false"/>
              </w:rPr>
              <w:t xml:space="preserve">8.21</w:t>
            </w:r>
          </w:p>
        </w:tc>
        <w:tc>
          <w:tcPr>
            <w:tcW w:type="dxa" w:w="900"/>
            <w:tcMar>
              <w:top w:type="dxa" w:w="90"/>
              <w:left w:type="dxa" w:w="130"/>
              <w:bottom w:type="dxa" w:w="90"/>
              <w:right w:type="dxa" w:w="130"/>
            </w:tcMar>
          </w:tcPr>
          <w:p>
            <w:pPr>
              <w:spacing w:after="0" w:line="260"/>
            </w:pPr>
            <w:r>
              <w:rPr>
                <w:b w:val="false"/>
                <w:bCs w:val="false"/>
              </w:rPr>
              <w:t xml:space="preserve">13 min</w:t>
            </w:r>
          </w:p>
        </w:tc>
        <w:tc>
          <w:tcPr>
            <w:tcW w:type="dxa" w:w="7460"/>
            <w:tcMar>
              <w:top w:type="dxa" w:w="90"/>
              <w:left w:type="dxa" w:w="130"/>
              <w:bottom w:type="dxa" w:w="90"/>
              <w:right w:type="dxa" w:w="130"/>
            </w:tcMar>
          </w:tcPr>
          <w:p>
            <w:pPr>
              <w:spacing w:after="0" w:line="260"/>
            </w:pPr>
            <w:r>
              <w:rPr>
                <w:b w:val="false"/>
                <w:bCs w:val="false"/>
              </w:rPr>
              <w:t xml:space="preserve">Four problems, approximately three minutes each</w:t>
            </w:r>
          </w:p>
        </w:tc>
      </w:tr>
      <w:tr>
        <w:tc>
          <w:tcPr>
            <w:tcW w:type="dxa" w:w="1000"/>
            <w:tcMar>
              <w:top w:type="dxa" w:w="90"/>
              <w:left w:type="dxa" w:w="130"/>
              <w:bottom w:type="dxa" w:w="90"/>
              <w:right w:type="dxa" w:w="130"/>
            </w:tcMar>
          </w:tcPr>
          <w:p>
            <w:pPr>
              <w:spacing w:after="0" w:line="260"/>
            </w:pPr>
            <w:r>
              <w:rPr>
                <w:b w:val="false"/>
                <w:bCs w:val="false"/>
              </w:rPr>
              <w:t xml:space="preserve">8.34</w:t>
            </w:r>
          </w:p>
        </w:tc>
        <w:tc>
          <w:tcPr>
            <w:tcW w:type="dxa" w:w="900"/>
            <w:tcMar>
              <w:top w:type="dxa" w:w="90"/>
              <w:left w:type="dxa" w:w="130"/>
              <w:bottom w:type="dxa" w:w="90"/>
              <w:right w:type="dxa" w:w="130"/>
            </w:tcMar>
          </w:tcPr>
          <w:p>
            <w:pPr>
              <w:spacing w:after="0" w:line="260"/>
            </w:pPr>
            <w:r>
              <w:rPr>
                <w:b w:val="false"/>
                <w:bCs w:val="false"/>
              </w:rPr>
              <w:t xml:space="preserve">4 min</w:t>
            </w:r>
          </w:p>
        </w:tc>
        <w:tc>
          <w:tcPr>
            <w:tcW w:type="dxa" w:w="7460"/>
            <w:tcMar>
              <w:top w:type="dxa" w:w="90"/>
              <w:left w:type="dxa" w:w="130"/>
              <w:bottom w:type="dxa" w:w="90"/>
              <w:right w:type="dxa" w:w="130"/>
            </w:tcMar>
          </w:tcPr>
          <w:p>
            <w:pPr>
              <w:spacing w:after="0" w:line="260"/>
            </w:pPr>
            <w:r>
              <w:rPr>
                <w:b w:val="false"/>
                <w:bCs w:val="false"/>
              </w:rPr>
              <w:t xml:space="preserve">Read versus write, standard parts, the design build test learn cycle</w:t>
            </w:r>
          </w:p>
        </w:tc>
      </w:tr>
      <w:tr>
        <w:tc>
          <w:tcPr>
            <w:tcW w:type="dxa" w:w="1000"/>
            <w:tcMar>
              <w:top w:type="dxa" w:w="90"/>
              <w:left w:type="dxa" w:w="130"/>
              <w:bottom w:type="dxa" w:w="90"/>
              <w:right w:type="dxa" w:w="130"/>
            </w:tcMar>
          </w:tcPr>
          <w:p>
            <w:pPr>
              <w:spacing w:after="0" w:line="260"/>
            </w:pPr>
            <w:r>
              <w:rPr>
                <w:b w:val="false"/>
                <w:bCs w:val="false"/>
              </w:rPr>
              <w:t xml:space="preserve">8.38</w:t>
            </w:r>
          </w:p>
        </w:tc>
        <w:tc>
          <w:tcPr>
            <w:tcW w:type="dxa" w:w="900"/>
            <w:tcMar>
              <w:top w:type="dxa" w:w="90"/>
              <w:left w:type="dxa" w:w="130"/>
              <w:bottom w:type="dxa" w:w="90"/>
              <w:right w:type="dxa" w:w="130"/>
            </w:tcMar>
          </w:tcPr>
          <w:p>
            <w:pPr>
              <w:spacing w:after="0" w:line="260"/>
            </w:pPr>
            <w:r>
              <w:rPr>
                <w:b w:val="false"/>
                <w:bCs w:val="false"/>
              </w:rPr>
              <w:t xml:space="preserve">6 min</w:t>
            </w:r>
          </w:p>
        </w:tc>
        <w:tc>
          <w:tcPr>
            <w:tcW w:type="dxa" w:w="7460"/>
            <w:tcMar>
              <w:top w:type="dxa" w:w="90"/>
              <w:left w:type="dxa" w:w="130"/>
              <w:bottom w:type="dxa" w:w="90"/>
              <w:right w:type="dxa" w:w="130"/>
            </w:tcMar>
          </w:tcPr>
          <w:p>
            <w:pPr>
              <w:spacing w:after="0" w:line="260"/>
            </w:pPr>
            <w:r>
              <w:rPr>
                <w:b w:val="false"/>
                <w:bCs w:val="false"/>
              </w:rPr>
              <w:t xml:space="preserve">Design review 1</w:t>
            </w:r>
          </w:p>
        </w:tc>
      </w:tr>
      <w:tr>
        <w:tc>
          <w:tcPr>
            <w:tcW w:type="dxa" w:w="1000"/>
            <w:tcMar>
              <w:top w:type="dxa" w:w="90"/>
              <w:left w:type="dxa" w:w="130"/>
              <w:bottom w:type="dxa" w:w="90"/>
              <w:right w:type="dxa" w:w="130"/>
            </w:tcMar>
          </w:tcPr>
          <w:p>
            <w:pPr>
              <w:spacing w:after="0" w:line="260"/>
            </w:pPr>
            <w:r>
              <w:rPr>
                <w:b w:val="false"/>
                <w:bCs w:val="false"/>
              </w:rPr>
              <w:t xml:space="preserve">8.44</w:t>
            </w:r>
          </w:p>
        </w:tc>
        <w:tc>
          <w:tcPr>
            <w:tcW w:type="dxa" w:w="900"/>
            <w:tcMar>
              <w:top w:type="dxa" w:w="90"/>
              <w:left w:type="dxa" w:w="130"/>
              <w:bottom w:type="dxa" w:w="90"/>
              <w:right w:type="dxa" w:w="130"/>
            </w:tcMar>
          </w:tcPr>
          <w:p>
            <w:pPr>
              <w:spacing w:after="0" w:line="260"/>
            </w:pPr>
            <w:r>
              <w:rPr>
                <w:b w:val="false"/>
                <w:bCs w:val="false"/>
              </w:rPr>
              <w:t xml:space="preserve">6 min</w:t>
            </w:r>
          </w:p>
        </w:tc>
        <w:tc>
          <w:tcPr>
            <w:tcW w:type="dxa" w:w="7460"/>
            <w:tcMar>
              <w:top w:type="dxa" w:w="90"/>
              <w:left w:type="dxa" w:w="130"/>
              <w:bottom w:type="dxa" w:w="90"/>
              <w:right w:type="dxa" w:w="130"/>
            </w:tcMar>
          </w:tcPr>
          <w:p>
            <w:pPr>
              <w:spacing w:after="0" w:line="260"/>
            </w:pPr>
            <w:r>
              <w:rPr>
                <w:b w:val="false"/>
                <w:bCs w:val="false"/>
              </w:rPr>
              <w:t xml:space="preserve">Design review 2</w:t>
            </w:r>
          </w:p>
        </w:tc>
      </w:tr>
      <w:tr>
        <w:tc>
          <w:tcPr>
            <w:tcW w:type="dxa" w:w="1000"/>
            <w:tcMar>
              <w:top w:type="dxa" w:w="90"/>
              <w:left w:type="dxa" w:w="130"/>
              <w:bottom w:type="dxa" w:w="90"/>
              <w:right w:type="dxa" w:w="130"/>
            </w:tcMar>
          </w:tcPr>
          <w:p>
            <w:pPr>
              <w:spacing w:after="0" w:line="260"/>
            </w:pPr>
            <w:r>
              <w:rPr>
                <w:b w:val="false"/>
                <w:bCs w:val="false"/>
              </w:rPr>
              <w:t xml:space="preserve">8.50</w:t>
            </w:r>
          </w:p>
        </w:tc>
        <w:tc>
          <w:tcPr>
            <w:tcW w:type="dxa" w:w="900"/>
            <w:tcMar>
              <w:top w:type="dxa" w:w="90"/>
              <w:left w:type="dxa" w:w="130"/>
              <w:bottom w:type="dxa" w:w="90"/>
              <w:right w:type="dxa" w:w="130"/>
            </w:tcMar>
          </w:tcPr>
          <w:p>
            <w:pPr>
              <w:spacing w:after="0" w:line="260"/>
            </w:pPr>
            <w:r>
              <w:rPr>
                <w:b w:val="false"/>
                <w:bCs w:val="false"/>
              </w:rPr>
              <w:t xml:space="preserve">6 min</w:t>
            </w:r>
          </w:p>
        </w:tc>
        <w:tc>
          <w:tcPr>
            <w:tcW w:type="dxa" w:w="7460"/>
            <w:tcMar>
              <w:top w:type="dxa" w:w="90"/>
              <w:left w:type="dxa" w:w="130"/>
              <w:bottom w:type="dxa" w:w="90"/>
              <w:right w:type="dxa" w:w="130"/>
            </w:tcMar>
          </w:tcPr>
          <w:p>
            <w:pPr>
              <w:spacing w:after="0" w:line="260"/>
            </w:pPr>
            <w:r>
              <w:rPr>
                <w:b w:val="false"/>
                <w:bCs w:val="false"/>
              </w:rPr>
              <w:t xml:space="preserve">Design review 3</w:t>
            </w:r>
          </w:p>
        </w:tc>
      </w:tr>
      <w:tr>
        <w:tc>
          <w:tcPr>
            <w:tcW w:type="dxa" w:w="1000"/>
            <w:tcMar>
              <w:top w:type="dxa" w:w="90"/>
              <w:left w:type="dxa" w:w="130"/>
              <w:bottom w:type="dxa" w:w="90"/>
              <w:right w:type="dxa" w:w="130"/>
            </w:tcMar>
          </w:tcPr>
          <w:p>
            <w:pPr>
              <w:spacing w:after="0" w:line="260"/>
            </w:pPr>
            <w:r>
              <w:rPr>
                <w:b w:val="false"/>
                <w:bCs w:val="false"/>
              </w:rPr>
              <w:t xml:space="preserve">8.56</w:t>
            </w:r>
          </w:p>
        </w:tc>
        <w:tc>
          <w:tcPr>
            <w:tcW w:type="dxa" w:w="900"/>
            <w:tcMar>
              <w:top w:type="dxa" w:w="90"/>
              <w:left w:type="dxa" w:w="130"/>
              <w:bottom w:type="dxa" w:w="90"/>
              <w:right w:type="dxa" w:w="130"/>
            </w:tcMar>
          </w:tcPr>
          <w:p>
            <w:pPr>
              <w:spacing w:after="0" w:line="260"/>
            </w:pPr>
            <w:r>
              <w:rPr>
                <w:b w:val="false"/>
                <w:bCs w:val="false"/>
              </w:rPr>
              <w:t xml:space="preserve">4 min</w:t>
            </w:r>
          </w:p>
        </w:tc>
        <w:tc>
          <w:tcPr>
            <w:tcW w:type="dxa" w:w="7460"/>
            <w:tcMar>
              <w:top w:type="dxa" w:w="90"/>
              <w:left w:type="dxa" w:w="130"/>
              <w:bottom w:type="dxa" w:w="90"/>
              <w:right w:type="dxa" w:w="130"/>
            </w:tcMar>
          </w:tcPr>
          <w:p>
            <w:pPr>
              <w:spacing w:after="0" w:line="260"/>
            </w:pPr>
            <w:r>
              <w:rPr>
                <w:b w:val="false"/>
                <w:bCs w:val="false"/>
              </w:rPr>
              <w:t xml:space="preserve">Criteria for a research question, handover</w:t>
            </w:r>
          </w:p>
        </w:tc>
      </w:tr>
    </w:tbl>
    <w:p>
      <w:pPr>
        <w:spacing w:after="180"/>
      </w:pPr>
    </w:p>
    <w:p>
      <w:pPr>
        <w:spacing w:after="160" w:line="288"/>
      </w:pPr>
      <w:r>
        <w:t xml:space="preserve">Each problem is presented in four parts: the current process and its operating conditions, the biological machinery that performs the equivalent reaction, the specific technical barrier to deploying it, and the current state of the art.</w:t>
      </w:r>
    </w:p>
    <w:p>
      <w:pPr>
        <w:pBdr>
          <w:bottom w:val="single" w:color="D9D9E0" w:sz="6" w:space="1"/>
        </w:pBdr>
        <w:spacing w:after="240" w:before="220"/>
      </w:pPr>
    </w:p>
    <w:p>
      <w:pPr>
        <w:pStyle w:val="Heading1"/>
      </w:pPr>
      <w:r>
        <w:t xml:space="preserve">1. Aggregate Statistics (2 minutes)</w:t>
      </w:r>
    </w:p>
    <w:p>
      <w:pPr>
        <w:spacing w:after="160" w:line="288"/>
      </w:pPr>
      <w:r>
        <w:t xml:space="preserve">Displayed directly, without introduction: number of designs submitted, number of classes represented, distribution across the fifteen iGEM villages, distribution across the five chassis offered, and three verbatim sensing inputs from the submissions.</w:t>
      </w:r>
    </w:p>
    <w:p>
      <w:pPr>
        <w:pStyle w:val="Heading1"/>
      </w:pPr>
      <w:r>
        <w:t xml:space="preserve">2. The Premise (4 minutes)</w:t>
      </w:r>
    </w:p>
    <w:p>
      <w:pPr>
        <w:spacing w:after="160" w:line="288"/>
      </w:pPr>
      <w:r>
        <w:t xml:space="preserve">Human tissue is assembled at approximately 37 degrees Celsius and one atmosphere, in aqueous solution, from atmospheric gases, water and ingested organic carbon. Industrial synthesis of the equivalent materials requires calcination, cracking, high pressure catalysis or concentrated acid. The contrast is one of operating conditions and energy input, not of product quality.</w:t>
      </w:r>
    </w:p>
    <w:p>
      <w:pPr>
        <w:spacing w:after="160" w:line="288"/>
      </w:pPr>
      <w:r>
        <w:t xml:space="preserve">This is not an argument against industrial chemistry. The first example given, ammonia synthesis, supports roughly half the nitrogen in the current human population. The argument concerns cost and the existence of an ambient alternative that we cannot yet deploy.</w:t>
      </w:r>
    </w:p>
    <w:p>
      <w:pPr>
        <w:pStyle w:val="Heading1"/>
      </w:pPr>
      <w:r>
        <w:t xml:space="preserve">3. Four Problems (13 minutes)</w:t>
      </w:r>
    </w:p>
    <w:p>
      <w:pPr>
        <w:pStyle w:val="Heading2"/>
      </w:pPr>
      <w:r>
        <w:t xml:space="preserve">3.1 Nitrogen Fixation</w:t>
      </w:r>
    </w:p>
    <w:p>
      <w:pPr>
        <w:spacing w:after="160" w:line="288"/>
      </w:pPr>
      <w:r>
        <w:rPr>
          <w:b/>
          <w:bCs/>
        </w:rPr>
        <w:t xml:space="preserve">Current process. </w:t>
      </w:r>
      <w:r>
        <w:t xml:space="preserve">Haber-Bosch, over an iron based catalyst at 450 to 550 degrees Celsius and 250 to 350 bar. Output is roughly 230 million tonnes of ammonia per year, consuming one to two per cent of global primary energy and producing approximately three per cent of global carbon dioxide emissions. Approximately half the nitrogen atoms in human tissue are derived from it.</w:t>
      </w:r>
    </w:p>
    <w:p>
      <w:pPr>
        <w:spacing w:after="160" w:line="288"/>
      </w:pPr>
      <w:r>
        <w:rPr>
          <w:b/>
          <w:bCs/>
        </w:rPr>
        <w:t xml:space="preserve">Biological machinery. </w:t>
      </w:r>
      <w:r>
        <w:t xml:space="preserve">Molybdenum nitrogenase, a two component enzyme. Component I is the MoFe protein, a NifD and NifK heterotetramer carrying two P clusters and two iron molybdenum cofactors (FeMo-co, Fe</w:t>
      </w:r>
      <w:r>
        <w:rPr>
          <w:vertAlign w:val="subscript"/>
        </w:rPr>
        <w:t xml:space="preserve">7</w:t>
      </w:r>
      <w:r>
        <w:t xml:space="preserve">MoS</w:t>
      </w:r>
      <w:r>
        <w:rPr>
          <w:vertAlign w:val="subscript"/>
        </w:rPr>
        <w:t xml:space="preserve">9</w:t>
      </w:r>
      <w:r>
        <w:t xml:space="preserve">C), at which N</w:t>
      </w:r>
      <w:r>
        <w:rPr>
          <w:vertAlign w:val="subscript"/>
        </w:rPr>
        <w:t xml:space="preserve">2</w:t>
      </w:r>
      <w:r>
        <w:t xml:space="preserve"> is reduced. Component II is the Fe protein, a NifH homodimer carrying an Fe</w:t>
      </w:r>
      <w:r>
        <w:rPr>
          <w:vertAlign w:val="subscript"/>
        </w:rPr>
        <w:t xml:space="preserve">4</w:t>
      </w:r>
      <w:r>
        <w:t xml:space="preserve">S</w:t>
      </w:r>
      <w:r>
        <w:rPr>
          <w:vertAlign w:val="subscript"/>
        </w:rPr>
        <w:t xml:space="preserve">4</w:t>
      </w:r>
      <w:r>
        <w:t xml:space="preserve"> cluster, which delivers electrons to Component I. The canonical stoichiometry is N</w:t>
      </w:r>
      <w:r>
        <w:rPr>
          <w:vertAlign w:val="subscript"/>
        </w:rPr>
        <w:t xml:space="preserve">2</w:t>
      </w:r>
      <w:r>
        <w:t xml:space="preserve"> + 8 H</w:t>
      </w:r>
      <w:r>
        <w:rPr>
          <w:vertAlign w:val="superscript"/>
        </w:rPr>
        <w:t xml:space="preserve">+</w:t>
      </w:r>
      <w:r>
        <w:t xml:space="preserve"> + 8 e</w:t>
      </w:r>
      <w:r>
        <w:rPr>
          <w:vertAlign w:val="superscript"/>
        </w:rPr>
        <w:t xml:space="preserve">−</w:t>
      </w:r>
      <w:r>
        <w:t xml:space="preserve"> + 16 MgATP to 2 NH</w:t>
      </w:r>
      <w:r>
        <w:rPr>
          <w:vertAlign w:val="subscript"/>
        </w:rPr>
        <w:t xml:space="preserve">3</w:t>
      </w:r>
      <w:r>
        <w:t xml:space="preserve"> + H</w:t>
      </w:r>
      <w:r>
        <w:rPr>
          <w:vertAlign w:val="subscript"/>
        </w:rPr>
        <w:t xml:space="preserve">2</w:t>
      </w:r>
      <w:r>
        <w:t xml:space="preserve"> + 16 MgADP + 16 P</w:t>
      </w:r>
      <w:r>
        <w:rPr>
          <w:vertAlign w:val="subscript"/>
        </w:rPr>
        <w:t xml:space="preserve">i</w:t>
      </w:r>
      <w:r>
        <w:t xml:space="preserve">. In vivo the figure is higher, around 20 to 25 ATP, because of unproductive electron transfer cycles. The reaction runs at soil temperature and atmospheric pressure.</w:t>
      </w:r>
    </w:p>
    <w:p>
      <w:pPr>
        <w:spacing w:after="160" w:line="288"/>
      </w:pPr>
      <w:r>
        <w:rPr>
          <w:b/>
          <w:bCs/>
        </w:rPr>
        <w:t xml:space="preserve">Technical barriers. </w:t>
      </w:r>
      <w:r>
        <w:t xml:space="preserve">First, oxygen. Nitrogenase is irreversibly inactivated by dioxygen, which oxidises its iron sulfur cofactors, so legume nodules buffer free oxygen with leghemoglobin while still permitting respiration. Second, gene number. NifH, NifD and NifK are the structural subunits, but cofactor biosynthesis and maturation additionally require NifB, NifE, NifN, NifQ, NifS, NifU, NifV, NifW, NifX, NifY, NifZ, NifM and a dedicated ferredoxin. Third, expression in plants. In published work targeting Nif proteins to plant mitochondria, NifB, NifE, NifH, NifJ, NifK, NifQ and NifV were largely insoluble, and NifM retained only about ten per cent activity once the mitochondrial targeting peptide had been cleaved, leaving an N terminal extension. Fourth, energy. Even if expressed, the ATP demand is a significant metabolic load on the host.</w:t>
      </w:r>
    </w:p>
    <w:p>
      <w:pPr>
        <w:spacing w:after="160" w:line="288"/>
      </w:pPr>
      <w:r>
        <w:t xml:space="preserve">This problem leads, because the gap between the laboratory enzyme and the deployed crop is the clearest illustration of why the field exists.</w:t>
      </w:r>
    </w:p>
    <w:p>
      <w:pPr>
        <w:pStyle w:val="Heading2"/>
      </w:pPr>
      <w:r>
        <w:t xml:space="preserve">3.2 Fibre and Pigment</w:t>
      </w:r>
    </w:p>
    <w:p>
      <w:pPr>
        <w:spacing w:after="160" w:line="288"/>
      </w:pPr>
      <w:r>
        <w:rPr>
          <w:b/>
          <w:bCs/>
        </w:rPr>
        <w:t xml:space="preserve">Current process. </w:t>
      </w:r>
      <w:r>
        <w:t xml:space="preserve">Synthetic fibre is produced from petrochemical feedstock. High performance aramid fibre is spun from solution in concentrated sulfuric acid. Textile dyeing is water intensive and generates coloured effluent requiring treatment.</w:t>
      </w:r>
    </w:p>
    <w:p>
      <w:pPr>
        <w:spacing w:after="160" w:line="288"/>
      </w:pPr>
      <w:r>
        <w:rPr>
          <w:b/>
          <w:bCs/>
        </w:rPr>
        <w:t xml:space="preserve">Biological machinery. </w:t>
      </w:r>
      <w:r>
        <w:t xml:space="preserve">Spider dragline silk is composed principally of two major ampullate spidroins, MaSp1 and MaSp2. Short poly-alanine blocks form beta sheet nanocrystallites that provide stiffness, while glycine rich amorphous regions provide extensibility; the mechanical behaviour arises from the interaction between the two. Dragline toughness in Darwin’s bark spider averages 350 MJ per cubic metre, with individual samples to 520, more than ten times the toughness of Kevlar. Tensile strength is 450 to 2000 MPa, comparable to high grade alloy steel and roughly half that of aramid at about 3000 MPa. Pigments such as indigoidine and violacein are produced by bacteria as ordinary secondary metabolism. Fungal mycelium forms a self assembling composite in a mould.</w:t>
      </w:r>
    </w:p>
    <w:p>
      <w:pPr>
        <w:spacing w:after="160" w:line="288"/>
      </w:pPr>
      <w:r>
        <w:rPr>
          <w:b/>
          <w:bCs/>
        </w:rPr>
        <w:t xml:space="preserve">Technical barriers. </w:t>
      </w:r>
      <w:r>
        <w:t xml:space="preserve">Spiders are territorial and cannibalistic, so the protein must be produced heterologously. Spidroin genes are long, highly repetitive and alanine and glycine rich, which causes recombination, translational pausing and truncation in heterologous hosts, so recombinant spidroins are typically of much lower molecular weight than native protein. Fibres spun from them have roughly half the diameter, strength and extensibility of native dragline. Spinning is itself part of the mechanism: the native duct applies a pH gradient, ion exchange and elongational shear that drive the conformational transition, and reproducing it is a separate engineering problem from producing the protein.</w:t>
      </w:r>
    </w:p>
    <w:p>
      <w:pPr>
        <w:spacing w:after="160" w:line="288"/>
      </w:pPr>
      <w:r>
        <w:rPr>
          <w:b/>
          <w:bCs/>
        </w:rPr>
        <w:t xml:space="preserve">Note on wording. </w:t>
      </w:r>
      <w:r>
        <w:t xml:space="preserve">Say tougher than steel, not stronger. Toughness is energy absorbed per unit volume before failure, where silk wins decisively. Tensile strength is a different quantity, on which the claim would not hold.</w:t>
      </w:r>
    </w:p>
    <w:p>
      <w:pPr>
        <w:pStyle w:val="Heading2"/>
      </w:pPr>
      <w:r>
        <w:t xml:space="preserve">3.3 Detection and Diagnosis</w:t>
      </w:r>
    </w:p>
    <w:p>
      <w:pPr>
        <w:spacing w:after="160" w:line="288"/>
      </w:pPr>
      <w:r>
        <w:rPr>
          <w:b/>
          <w:bCs/>
        </w:rPr>
        <w:t xml:space="preserve">Current process. </w:t>
      </w:r>
      <w:r>
        <w:t xml:space="preserve">Sample collection, transport under cold chain, nucleic acid extraction, amplification on a thermocycler or equivalent instrument, interpretation by trained staff. Turnaround of days, and the chain is absent in much of the world.</w:t>
      </w:r>
    </w:p>
    <w:p>
      <w:pPr>
        <w:spacing w:after="160" w:line="288"/>
      </w:pPr>
      <w:r>
        <w:rPr>
          <w:b/>
          <w:bCs/>
        </w:rPr>
        <w:t xml:space="preserve">Biological machinery. </w:t>
      </w:r>
      <w:r>
        <w:t xml:space="preserve">Allosteric transcription factors, riboswitches and designed toehold switch riboregulators couple the presence of a specific ligand or RNA sequence to transcription or translation of a reporter, which can be an enzyme producing a visible colour change rather than a fluorophore requiring an instrument.</w:t>
      </w:r>
    </w:p>
    <w:p>
      <w:pPr>
        <w:spacing w:after="160" w:line="288"/>
      </w:pPr>
      <w:r>
        <w:rPr>
          <w:b/>
          <w:bCs/>
        </w:rPr>
        <w:t xml:space="preserve">State of the art. </w:t>
      </w:r>
      <w:r>
        <w:t xml:space="preserve">Pardee and colleagues (Cell, 2016) freeze dried cell free transcription and translation reactions onto paper, with toehold switches designed against Zika virus RNA. Isothermal amplification raised sensitivity to 1 to 3 femtomolar, and a CRISPR-Cas9 genotyping step distinguished African, Asian and American lineages. The reactions were stable at room temperature for up to a year, detection was achieved directly from infected plasma without purification, and the design to validation cycle for a new target was about one week.</w:t>
      </w:r>
    </w:p>
    <w:p>
      <w:pPr>
        <w:spacing w:after="160" w:line="288"/>
      </w:pPr>
      <w:r>
        <w:rPr>
          <w:b/>
          <w:bCs/>
        </w:rPr>
        <w:t xml:space="preserve">Technical barriers. </w:t>
      </w:r>
      <w:r>
        <w:t xml:space="preserve">Sequence targets are straightforward, since base pairing makes the sensor designable from the target sequence alone. Small molecule targets are not: we hold characterised regulators for only a small fraction of analytes of interest, and designing a new ligand binding sensor with usable affinity, specificity and dynamic range remains an open problem.</w:t>
      </w:r>
    </w:p>
    <w:p>
      <w:pPr>
        <w:pStyle w:val="Heading2"/>
      </w:pPr>
      <w:r>
        <w:t xml:space="preserve">3.4 PET Depolymerisation</w:t>
      </w:r>
    </w:p>
    <w:p>
      <w:pPr>
        <w:spacing w:after="160" w:line="288"/>
      </w:pPr>
      <w:r>
        <w:rPr>
          <w:b/>
          <w:bCs/>
        </w:rPr>
        <w:t xml:space="preserve">Current process. </w:t>
      </w:r>
      <w:r>
        <w:t xml:space="preserve">Landfill, incineration, or mechanical recycling, in which each cycle reduces molecular weight and therefore material grade.</w:t>
      </w:r>
    </w:p>
    <w:p>
      <w:pPr>
        <w:spacing w:after="160" w:line="288"/>
      </w:pPr>
      <w:r>
        <w:rPr>
          <w:b/>
          <w:bCs/>
        </w:rPr>
        <w:t xml:space="preserve">Biological machinery. </w:t>
      </w:r>
      <w:r>
        <w:t xml:space="preserve">In 2016, Ideonella sakaiensis 201-F6 was isolated from a PET recycling site in Japan. It secretes PETase, which hydrolyses PET predominantly to mono(2-hydroxyethyl) terephthalate, and MHETase, which cleaves that to terephthalic acid and ethylene glycol. Both are true monomers, so the route is in principle closed loop rather than downcycling.</w:t>
      </w:r>
    </w:p>
    <w:p>
      <w:pPr>
        <w:spacing w:after="160" w:line="288"/>
      </w:pPr>
      <w:r>
        <w:rPr>
          <w:b/>
          <w:bCs/>
        </w:rPr>
        <w:t xml:space="preserve">State of the art. </w:t>
      </w:r>
      <w:r>
        <w:t xml:space="preserve">The wild type enzyme is too slow and too mesophilic for industrial use, and engineering has addressed both. Tournier and colleagues (Nature, 2020) engineered leaf branch compost cutinase; their ICCG variant, carrying F243I, D238C, S283C and Y127G, achieved 90 per cent depolymerisation of post consumer PET in 9.3 hours at 72 degrees Celsius at 3 mg enzyme per gram of substrate. Operating near the glass transition of amorphous PET is deliberate, since chain mobility governs access to the ester bonds; enzymes act on amorphous domains, not crystalline ones. Lu and colleagues (Nature, 2022) took the opposite approach with FAST-PETase, five mutations (S121E, D186H, R224Q, N233K, R280A) identified by a three dimensional convolutional neural network ensemble, which degraded fifty one untreated post consumer products almost completely within a week at 30 to 50 degrees Celsius, and they closed the loop by resynthesising PET from the recovered monomers.</w:t>
      </w:r>
    </w:p>
    <w:p>
      <w:pPr>
        <w:spacing w:after="160" w:line="288"/>
      </w:pPr>
      <w:r>
        <w:rPr>
          <w:b/>
          <w:bCs/>
        </w:rPr>
        <w:t xml:space="preserve">The point. </w:t>
      </w:r>
      <w:r>
        <w:t xml:space="preserve">A wild type enzyme is a starting scaffold, not a solution. Once the sequence can be read and rewritten, catalytic rate and thermostability become design variables.</w:t>
      </w:r>
    </w:p>
    <w:p>
      <w:pPr>
        <w:pStyle w:val="Heading2"/>
      </w:pPr>
      <w:r>
        <w:t xml:space="preserve">Optional Fifth Problem: Information Storage</w:t>
      </w:r>
    </w:p>
    <w:p>
      <w:pPr>
        <w:spacing w:after="160" w:line="288"/>
      </w:pPr>
      <w:r>
        <w:t xml:space="preserve">Only if running early. DNA is read routinely from remains thousands of years old and has very high volumetric information density. Present density figures as laboratory records rather than product specifications, and note that write cost and random access latency, not density, are the binding constraints.</w:t>
      </w:r>
    </w:p>
    <w:p>
      <w:pPr>
        <w:pStyle w:val="Heading1"/>
      </w:pPr>
      <w:r>
        <w:t xml:space="preserve">4. Read Versus Write (4 minutes)</w:t>
      </w:r>
    </w:p>
    <w:p>
      <w:pPr>
        <w:spacing w:after="160" w:line="288"/>
      </w:pPr>
      <w:r>
        <w:t xml:space="preserve">The objection to put to the room is why, if the ambient route exists, it is not in use. For almost all of history we could read biological systems but not write them: selection and breeding act on existing variation and cannot specify a sequence.</w:t>
      </w:r>
    </w:p>
    <w:p>
      <w:pPr>
        <w:spacing w:after="160" w:line="288"/>
      </w:pPr>
      <w:r>
        <w:t xml:space="preserve">What changed is not only sequencing and synthesis, but abstraction into composable parts: promoters, ribosome binding sites, coding sequences and terminators with characterised behaviour, assembled by defined standards. Standardisation is what converts an engineering problem from bespoke to repeatable, and it is the reason iGEM exists as a parts registry as well as a competition.</w:t>
      </w:r>
    </w:p>
    <w:p>
      <w:pPr>
        <w:spacing w:after="160" w:line="288"/>
      </w:pPr>
      <w:r>
        <w:rPr>
          <w:b/>
          <w:bCs/>
        </w:rPr>
        <w:t xml:space="preserve">Definition. </w:t>
      </w:r>
      <w:r>
        <w:t xml:space="preserve">Synthetic biology is the programmability of living systems through the design and implementation of genetic circuits, executed as an iterative design, build, test, learn cycle.</w:t>
      </w:r>
    </w:p>
    <w:p>
      <w:pPr>
        <w:pStyle w:val="Heading1"/>
      </w:pPr>
      <w:r>
        <w:t xml:space="preserve">5. Three Design Reviews (18 minutes, 6 minutes each)</w:t>
      </w:r>
    </w:p>
    <w:p>
      <w:pPr>
        <w:spacing w:after="160" w:line="288"/>
      </w:pPr>
      <w:r>
        <w:t xml:space="preserve">Three student submissions are decomposed and worked through on stage, in the format of an internal design review rather than a showcase. Flaws are named. Where we do not know an answer, we state how it would be determined.</w:t>
      </w:r>
    </w:p>
    <w:p>
      <w:pPr>
        <w:pStyle w:val="Heading2"/>
      </w:pPr>
      <w:r>
        <w:t xml:space="preserve">The Six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740"/>
        <w:gridCol w:w="1000"/>
      </w:tblGrid>
      <w:tr>
        <w:trPr>
          <w:tblHeader/>
        </w:trPr>
        <w:tc>
          <w:tcPr>
            <w:tcW w:type="dxa" w:w="620"/>
            <w:shd w:fill="F0F0F3" w:color="auto" w:val="clear"/>
            <w:tcMar>
              <w:top w:type="dxa" w:w="90"/>
              <w:left w:type="dxa" w:w="130"/>
              <w:bottom w:type="dxa" w:w="90"/>
              <w:right w:type="dxa" w:w="130"/>
            </w:tcMar>
          </w:tcPr>
          <w:p>
            <w:pPr>
              <w:spacing w:after="0" w:line="260"/>
            </w:pPr>
            <w:r>
              <w:rPr>
                <w:b/>
                <w:bCs/>
              </w:rPr>
              <w:t xml:space="preserve"/>
            </w:r>
          </w:p>
        </w:tc>
        <w:tc>
          <w:tcPr>
            <w:tcW w:type="dxa" w:w="7740"/>
            <w:shd w:fill="F0F0F3" w:color="auto" w:val="clear"/>
            <w:tcMar>
              <w:top w:type="dxa" w:w="90"/>
              <w:left w:type="dxa" w:w="130"/>
              <w:bottom w:type="dxa" w:w="90"/>
              <w:right w:type="dxa" w:w="130"/>
            </w:tcMar>
          </w:tcPr>
          <w:p>
            <w:pPr>
              <w:spacing w:after="0" w:line="260"/>
            </w:pPr>
            <w:r>
              <w:rPr>
                <w:b/>
                <w:bCs/>
              </w:rPr>
              <w:t xml:space="preserve">Move</w:t>
            </w:r>
          </w:p>
        </w:tc>
        <w:tc>
          <w:tcPr>
            <w:tcW w:type="dxa" w:w="1000"/>
            <w:shd w:fill="F0F0F3" w:color="auto" w:val="clear"/>
            <w:tcMar>
              <w:top w:type="dxa" w:w="90"/>
              <w:left w:type="dxa" w:w="130"/>
              <w:bottom w:type="dxa" w:w="90"/>
              <w:right w:type="dxa" w:w="130"/>
            </w:tcMar>
          </w:tcPr>
          <w:p>
            <w:pPr>
              <w:spacing w:after="0" w:line="260"/>
            </w:pPr>
            <w:r>
              <w:rPr>
                <w:b/>
                <w:bCs/>
              </w:rPr>
              <w:t xml:space="preserve">Time</w:t>
            </w:r>
          </w:p>
        </w:tc>
      </w:tr>
      <w:tr>
        <w:tc>
          <w:tcPr>
            <w:tcW w:type="dxa" w:w="620"/>
            <w:tcMar>
              <w:top w:type="dxa" w:w="90"/>
              <w:left w:type="dxa" w:w="130"/>
              <w:bottom w:type="dxa" w:w="90"/>
              <w:right w:type="dxa" w:w="130"/>
            </w:tcMar>
          </w:tcPr>
          <w:p>
            <w:pPr>
              <w:spacing w:after="0" w:line="260"/>
            </w:pPr>
            <w:r>
              <w:rPr>
                <w:b w:val="false"/>
                <w:bCs w:val="false"/>
              </w:rPr>
              <w:t xml:space="preserve">1</w:t>
            </w:r>
          </w:p>
        </w:tc>
        <w:tc>
          <w:tcPr>
            <w:tcW w:type="dxa" w:w="7740"/>
            <w:tcMar>
              <w:top w:type="dxa" w:w="90"/>
              <w:left w:type="dxa" w:w="130"/>
              <w:bottom w:type="dxa" w:w="90"/>
              <w:right w:type="dxa" w:w="130"/>
            </w:tcMar>
          </w:tcPr>
          <w:p>
            <w:pPr>
              <w:spacing w:after="0" w:line="260"/>
            </w:pPr>
            <w:r>
              <w:rPr>
                <w:b w:val="false"/>
                <w:bCs w:val="false"/>
              </w:rPr>
              <w:t xml:space="preserve">Read the submission verbatim, credited by class.</w:t>
            </w:r>
          </w:p>
        </w:tc>
        <w:tc>
          <w:tcPr>
            <w:tcW w:type="dxa" w:w="1000"/>
            <w:tcMar>
              <w:top w:type="dxa" w:w="90"/>
              <w:left w:type="dxa" w:w="130"/>
              <w:bottom w:type="dxa" w:w="90"/>
              <w:right w:type="dxa" w:w="130"/>
            </w:tcMar>
          </w:tcPr>
          <w:p>
            <w:pPr>
              <w:spacing w:after="0" w:line="260"/>
            </w:pPr>
            <w:r>
              <w:rPr>
                <w:b w:val="false"/>
                <w:bCs w:val="false"/>
              </w:rPr>
              <w:t xml:space="preserve">20 sec</w:t>
            </w:r>
          </w:p>
        </w:tc>
      </w:tr>
      <w:tr>
        <w:tc>
          <w:tcPr>
            <w:tcW w:type="dxa" w:w="620"/>
            <w:tcMar>
              <w:top w:type="dxa" w:w="90"/>
              <w:left w:type="dxa" w:w="130"/>
              <w:bottom w:type="dxa" w:w="90"/>
              <w:right w:type="dxa" w:w="130"/>
            </w:tcMar>
          </w:tcPr>
          <w:p>
            <w:pPr>
              <w:spacing w:after="0" w:line="260"/>
            </w:pPr>
            <w:r>
              <w:rPr>
                <w:b w:val="false"/>
                <w:bCs w:val="false"/>
              </w:rPr>
              <w:t xml:space="preserve">2</w:t>
            </w:r>
          </w:p>
        </w:tc>
        <w:tc>
          <w:tcPr>
            <w:tcW w:type="dxa" w:w="7740"/>
            <w:tcMar>
              <w:top w:type="dxa" w:w="90"/>
              <w:left w:type="dxa" w:w="130"/>
              <w:bottom w:type="dxa" w:w="90"/>
              <w:right w:type="dxa" w:w="130"/>
            </w:tcMar>
          </w:tcPr>
          <w:p>
            <w:pPr>
              <w:spacing w:after="0" w:line="260"/>
            </w:pPr>
            <w:r>
              <w:rPr>
                <w:b w:val="false"/>
                <w:bCs w:val="false"/>
              </w:rPr>
              <w:t xml:space="preserve">State the consequence if it worked, and for whom.</w:t>
            </w:r>
          </w:p>
        </w:tc>
        <w:tc>
          <w:tcPr>
            <w:tcW w:type="dxa" w:w="1000"/>
            <w:tcMar>
              <w:top w:type="dxa" w:w="90"/>
              <w:left w:type="dxa" w:w="130"/>
              <w:bottom w:type="dxa" w:w="90"/>
              <w:right w:type="dxa" w:w="130"/>
            </w:tcMar>
          </w:tcPr>
          <w:p>
            <w:pPr>
              <w:spacing w:after="0" w:line="260"/>
            </w:pPr>
            <w:r>
              <w:rPr>
                <w:b w:val="false"/>
                <w:bCs w:val="false"/>
              </w:rPr>
              <w:t xml:space="preserve">45 sec</w:t>
            </w:r>
          </w:p>
        </w:tc>
      </w:tr>
      <w:tr>
        <w:tc>
          <w:tcPr>
            <w:tcW w:type="dxa" w:w="620"/>
            <w:tcMar>
              <w:top w:type="dxa" w:w="90"/>
              <w:left w:type="dxa" w:w="130"/>
              <w:bottom w:type="dxa" w:w="90"/>
              <w:right w:type="dxa" w:w="130"/>
            </w:tcMar>
          </w:tcPr>
          <w:p>
            <w:pPr>
              <w:spacing w:after="0" w:line="260"/>
            </w:pPr>
            <w:r>
              <w:rPr>
                <w:b w:val="false"/>
                <w:bCs w:val="false"/>
              </w:rPr>
              <w:t xml:space="preserve">3</w:t>
            </w:r>
          </w:p>
        </w:tc>
        <w:tc>
          <w:tcPr>
            <w:tcW w:type="dxa" w:w="7740"/>
            <w:tcMar>
              <w:top w:type="dxa" w:w="90"/>
              <w:left w:type="dxa" w:w="130"/>
              <w:bottom w:type="dxa" w:w="90"/>
              <w:right w:type="dxa" w:w="130"/>
            </w:tcMar>
          </w:tcPr>
          <w:p>
            <w:pPr>
              <w:spacing w:after="0" w:line="260"/>
            </w:pPr>
            <w:r>
              <w:rPr>
                <w:b w:val="false"/>
                <w:bCs w:val="false"/>
              </w:rPr>
              <w:t xml:space="preserve">Decompose into sensor, logic and actuator. Parts taken from the floor.</w:t>
            </w:r>
          </w:p>
        </w:tc>
        <w:tc>
          <w:tcPr>
            <w:tcW w:type="dxa" w:w="1000"/>
            <w:tcMar>
              <w:top w:type="dxa" w:w="90"/>
              <w:left w:type="dxa" w:w="130"/>
              <w:bottom w:type="dxa" w:w="90"/>
              <w:right w:type="dxa" w:w="130"/>
            </w:tcMar>
          </w:tcPr>
          <w:p>
            <w:pPr>
              <w:spacing w:after="0" w:line="260"/>
            </w:pPr>
            <w:r>
              <w:rPr>
                <w:b w:val="false"/>
                <w:bCs w:val="false"/>
              </w:rPr>
              <w:t xml:space="preserve">90 sec</w:t>
            </w:r>
          </w:p>
        </w:tc>
      </w:tr>
      <w:tr>
        <w:tc>
          <w:tcPr>
            <w:tcW w:type="dxa" w:w="620"/>
            <w:tcMar>
              <w:top w:type="dxa" w:w="90"/>
              <w:left w:type="dxa" w:w="130"/>
              <w:bottom w:type="dxa" w:w="90"/>
              <w:right w:type="dxa" w:w="130"/>
            </w:tcMar>
          </w:tcPr>
          <w:p>
            <w:pPr>
              <w:spacing w:after="0" w:line="260"/>
            </w:pPr>
            <w:r>
              <w:rPr>
                <w:b w:val="false"/>
                <w:bCs w:val="false"/>
              </w:rPr>
              <w:t xml:space="preserve">4</w:t>
            </w:r>
          </w:p>
        </w:tc>
        <w:tc>
          <w:tcPr>
            <w:tcW w:type="dxa" w:w="7740"/>
            <w:tcMar>
              <w:top w:type="dxa" w:w="90"/>
              <w:left w:type="dxa" w:w="130"/>
              <w:bottom w:type="dxa" w:w="90"/>
              <w:right w:type="dxa" w:w="130"/>
            </w:tcMar>
          </w:tcPr>
          <w:p>
            <w:pPr>
              <w:spacing w:after="0" w:line="260"/>
            </w:pPr>
            <w:r>
              <w:rPr>
                <w:b w:val="false"/>
                <w:bCs w:val="false"/>
              </w:rPr>
              <w:t xml:space="preserve">Specify the first experiment: equipment, measurable, expected result, two week scope.</w:t>
            </w:r>
          </w:p>
        </w:tc>
        <w:tc>
          <w:tcPr>
            <w:tcW w:type="dxa" w:w="1000"/>
            <w:tcMar>
              <w:top w:type="dxa" w:w="90"/>
              <w:left w:type="dxa" w:w="130"/>
              <w:bottom w:type="dxa" w:w="90"/>
              <w:right w:type="dxa" w:w="130"/>
            </w:tcMar>
          </w:tcPr>
          <w:p>
            <w:pPr>
              <w:spacing w:after="0" w:line="260"/>
            </w:pPr>
            <w:r>
              <w:rPr>
                <w:b w:val="false"/>
                <w:bCs w:val="false"/>
              </w:rPr>
              <w:t xml:space="preserve">90 sec</w:t>
            </w:r>
          </w:p>
        </w:tc>
      </w:tr>
      <w:tr>
        <w:tc>
          <w:tcPr>
            <w:tcW w:type="dxa" w:w="620"/>
            <w:tcMar>
              <w:top w:type="dxa" w:w="90"/>
              <w:left w:type="dxa" w:w="130"/>
              <w:bottom w:type="dxa" w:w="90"/>
              <w:right w:type="dxa" w:w="130"/>
            </w:tcMar>
          </w:tcPr>
          <w:p>
            <w:pPr>
              <w:spacing w:after="0" w:line="260"/>
            </w:pPr>
            <w:r>
              <w:rPr>
                <w:b w:val="false"/>
                <w:bCs w:val="false"/>
              </w:rPr>
              <w:t xml:space="preserve">5</w:t>
            </w:r>
          </w:p>
        </w:tc>
        <w:tc>
          <w:tcPr>
            <w:tcW w:type="dxa" w:w="7740"/>
            <w:tcMar>
              <w:top w:type="dxa" w:w="90"/>
              <w:left w:type="dxa" w:w="130"/>
              <w:bottom w:type="dxa" w:w="90"/>
              <w:right w:type="dxa" w:w="130"/>
            </w:tcMar>
          </w:tcPr>
          <w:p>
            <w:pPr>
              <w:spacing w:after="0" w:line="260"/>
            </w:pPr>
            <w:r>
              <w:rPr>
                <w:b w:val="false"/>
                <w:bCs w:val="false"/>
              </w:rPr>
              <w:t xml:space="preserve">Name the failure mode by category: thermodynamic, kinetic, toxicity, containment, scale, regulatory.</w:t>
            </w:r>
          </w:p>
        </w:tc>
        <w:tc>
          <w:tcPr>
            <w:tcW w:type="dxa" w:w="1000"/>
            <w:tcMar>
              <w:top w:type="dxa" w:w="90"/>
              <w:left w:type="dxa" w:w="130"/>
              <w:bottom w:type="dxa" w:w="90"/>
              <w:right w:type="dxa" w:w="130"/>
            </w:tcMar>
          </w:tcPr>
          <w:p>
            <w:pPr>
              <w:spacing w:after="0" w:line="260"/>
            </w:pPr>
            <w:r>
              <w:rPr>
                <w:b w:val="false"/>
                <w:bCs w:val="false"/>
              </w:rPr>
              <w:t xml:space="preserve">60 sec</w:t>
            </w:r>
          </w:p>
        </w:tc>
      </w:tr>
      <w:tr>
        <w:tc>
          <w:tcPr>
            <w:tcW w:type="dxa" w:w="620"/>
            <w:tcMar>
              <w:top w:type="dxa" w:w="90"/>
              <w:left w:type="dxa" w:w="130"/>
              <w:bottom w:type="dxa" w:w="90"/>
              <w:right w:type="dxa" w:w="130"/>
            </w:tcMar>
          </w:tcPr>
          <w:p>
            <w:pPr>
              <w:spacing w:after="0" w:line="260"/>
            </w:pPr>
            <w:r>
              <w:rPr>
                <w:b w:val="false"/>
                <w:bCs w:val="false"/>
              </w:rPr>
              <w:t xml:space="preserve">6</w:t>
            </w:r>
          </w:p>
        </w:tc>
        <w:tc>
          <w:tcPr>
            <w:tcW w:type="dxa" w:w="7740"/>
            <w:tcMar>
              <w:top w:type="dxa" w:w="90"/>
              <w:left w:type="dxa" w:w="130"/>
              <w:bottom w:type="dxa" w:w="90"/>
              <w:right w:type="dxa" w:w="130"/>
            </w:tcMar>
          </w:tcPr>
          <w:p>
            <w:pPr>
              <w:spacing w:after="0" w:line="260"/>
            </w:pPr>
            <w:r>
              <w:rPr>
                <w:b w:val="false"/>
                <w:bCs w:val="false"/>
              </w:rPr>
              <w:t xml:space="preserve">State the research question in one sentence.</w:t>
            </w:r>
          </w:p>
        </w:tc>
        <w:tc>
          <w:tcPr>
            <w:tcW w:type="dxa" w:w="1000"/>
            <w:tcMar>
              <w:top w:type="dxa" w:w="90"/>
              <w:left w:type="dxa" w:w="130"/>
              <w:bottom w:type="dxa" w:w="90"/>
              <w:right w:type="dxa" w:w="130"/>
            </w:tcMar>
          </w:tcPr>
          <w:p>
            <w:pPr>
              <w:spacing w:after="0" w:line="260"/>
            </w:pPr>
            <w:r>
              <w:rPr>
                <w:b w:val="false"/>
                <w:bCs w:val="false"/>
              </w:rPr>
              <w:t xml:space="preserve">30 sec</w:t>
            </w:r>
          </w:p>
        </w:tc>
      </w:tr>
    </w:tbl>
    <w:p>
      <w:pPr>
        <w:spacing w:after="180"/>
      </w:pPr>
    </w:p>
    <w:p>
      <w:pPr>
        <w:spacing w:after="160" w:line="288"/>
      </w:pPr>
      <w:r>
        <w:t xml:space="preserve">In the first review only, one line is added at move three, identifying the sensor, rule and output decomposition as a genetic circuit and noting that the students wrote one without being given the term. This is the only point at which the definition from section four is restated.</w:t>
      </w:r>
    </w:p>
    <w:p>
      <w:pPr>
        <w:spacing w:after="160" w:line="288"/>
      </w:pPr>
      <w:r>
        <w:rPr>
          <w:b/>
          <w:bCs/>
        </w:rPr>
        <w:t xml:space="preserve">Move four carries the session. </w:t>
      </w:r>
      <w:r>
        <w:t xml:space="preserve">Answers are taken from the floor first, then the specified experiment is given: the smallest test capable of falsifying the design, with the equipment and the measurable named.</w:t>
      </w:r>
    </w:p>
    <w:p>
      <w:pPr>
        <w:pStyle w:val="Heading2"/>
      </w:pPr>
      <w:r>
        <w:t xml:space="preserve">Participation</w:t>
      </w:r>
    </w:p>
    <w:p>
      <w:pPr>
        <w:spacing w:after="160" w:line="288"/>
      </w:pPr>
      <w:r>
        <w:t xml:space="preserve">The hands on component sits inside the reviews. Students supply the parts at move three, discuss a first experiment with a neighbour for thirty seconds at move four with two answers taken on the microphone, and name the failure mode at move five before we do.</w:t>
      </w:r>
    </w:p>
    <w:p>
      <w:pPr>
        <w:pStyle w:val="Heading2"/>
      </w:pPr>
      <w:r>
        <w:t xml:space="preserve">Selection Criteria for the Three Submissions</w:t>
      </w:r>
    </w:p>
    <w:p>
      <w:pPr>
        <w:spacing w:after="160" w:line="288"/>
      </w:pPr>
      <w:r>
        <w:t xml:space="preserve">One submission is near term feasible, with a first experiment within school capability. One is ambitious but rests on a documented mechanism, to demonstrate reduction of a large objective to a tractable first step. One carries an unresolved ethical question, in containment, ownership or distribution of benefit, so that ethics is examined through a student design rather than as a separate block. They are run in that order.</w:t>
      </w:r>
    </w:p>
    <w:p>
      <w:pPr>
        <w:spacing w:after="160" w:line="288"/>
      </w:pPr>
      <w:r>
        <w:rPr>
          <w:b/>
          <w:bCs/>
        </w:rPr>
        <w:t xml:space="preserve">Each review requires approximately one hour of preparation: </w:t>
      </w:r>
      <w:r>
        <w:t xml:space="preserve">establishing whether a characterised sensor for the stated input exists and in which organism, identifying the nearest real parts, specifying the first experiment, and identifying the dominant failure mode. </w:t>
      </w:r>
      <w:r>
        <w:rPr>
          <w:b/>
          <w:bCs/>
        </w:rPr>
        <w:t xml:space="preserve">A design for which no first experiment can be written is the wrong design to present.</w:t>
      </w:r>
    </w:p>
    <w:p>
      <w:pPr>
        <w:pStyle w:val="Heading1"/>
      </w:pPr>
      <w:r>
        <w:t xml:space="preserve">6. Criteria for a Research Question (4 minutes)</w:t>
      </w:r>
    </w:p>
    <w:p>
      <w:pPr>
        <w:spacing w:after="160" w:line="288"/>
      </w:pPr>
      <w:r>
        <w:t xml:space="preserve">Three questions, each derived from a student submission, are on screen. A usable question is bounded, so not how to solve plastic waste but whether a given hydrolase retains activity at seawater temperature; it is operationalised, naming the measured quantity and the method; and it is falsifiable, specifying the result that would refute it. The third criterion receives the most time.</w:t>
      </w:r>
    </w:p>
    <w:p>
      <w:pPr>
        <w:spacing w:after="160" w:line="288"/>
      </w:pPr>
      <w:r>
        <w:t xml:space="preserve">Handover to Ms Leong follows immediately, with no closing remarks.</w:t>
      </w:r>
    </w:p>
    <w:p>
      <w:pPr>
        <w:pBdr>
          <w:bottom w:val="single" w:color="D9D9E0" w:sz="6" w:space="1"/>
        </w:pBdr>
        <w:spacing w:after="240" w:before="220"/>
      </w:pPr>
    </w:p>
    <w:p>
      <w:pPr>
        <w:pStyle w:val="Heading1"/>
      </w:pPr>
      <w:r>
        <w:t xml:space="preserve">Cut Order</w:t>
      </w:r>
    </w:p>
    <w:p>
      <w:pPr>
        <w:spacing w:after="160" w:line="288"/>
      </w:pPr>
      <w:r>
        <w:t xml:space="preserve">In order: problem 3.4, then the optional fifth problem, then review three reduced to four minutes by dropping moves two and five, then the neighbour discussion in review two.</w:t>
      </w:r>
    </w:p>
    <w:p>
      <w:pPr>
        <w:spacing w:after="160" w:line="288"/>
      </w:pPr>
      <w:r>
        <w:rPr>
          <w:b/>
          <w:bCs/>
        </w:rPr>
        <w:t xml:space="preserve">Not cut under any circumstances: </w:t>
      </w:r>
      <w:r>
        <w:t xml:space="preserve">the premise, at least two problems, section four, two complete reviews, move four in any review that runs, and section six.</w:t>
      </w:r>
    </w:p>
    <w:p>
      <w:pPr>
        <w:pStyle w:val="Heading1"/>
      </w:pPr>
      <w:r>
        <w:t xml:space="preserve">Figures and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F0F0F3" w:color="auto" w:val="clear"/>
            <w:tcMar>
              <w:top w:type="dxa" w:w="90"/>
              <w:left w:type="dxa" w:w="130"/>
              <w:bottom w:type="dxa" w:w="90"/>
              <w:right w:type="dxa" w:w="130"/>
            </w:tcMar>
          </w:tcPr>
          <w:p>
            <w:pPr>
              <w:spacing w:after="0" w:line="260"/>
            </w:pPr>
            <w:r>
              <w:rPr>
                <w:b/>
                <w:bCs/>
              </w:rPr>
              <w:t xml:space="preserve">Claim</w:t>
            </w:r>
          </w:p>
        </w:tc>
        <w:tc>
          <w:tcPr>
            <w:tcW w:type="dxa" w:w="3960"/>
            <w:shd w:fill="F0F0F3" w:color="auto" w:val="clear"/>
            <w:tcMar>
              <w:top w:type="dxa" w:w="90"/>
              <w:left w:type="dxa" w:w="130"/>
              <w:bottom w:type="dxa" w:w="90"/>
              <w:right w:type="dxa" w:w="130"/>
            </w:tcMar>
          </w:tcPr>
          <w:p>
            <w:pPr>
              <w:spacing w:after="0" w:line="260"/>
            </w:pPr>
            <w:r>
              <w:rPr>
                <w:b/>
                <w:bCs/>
              </w:rPr>
              <w:t xml:space="preserve">Status</w:t>
            </w:r>
          </w:p>
        </w:tc>
      </w:tr>
      <w:tr>
        <w:tc>
          <w:tcPr>
            <w:tcW w:type="dxa" w:w="5400"/>
            <w:tcMar>
              <w:top w:type="dxa" w:w="90"/>
              <w:left w:type="dxa" w:w="130"/>
              <w:bottom w:type="dxa" w:w="90"/>
              <w:right w:type="dxa" w:w="130"/>
            </w:tcMar>
          </w:tcPr>
          <w:p>
            <w:pPr>
              <w:spacing w:after="0" w:line="260"/>
            </w:pPr>
            <w:r>
              <w:rPr>
                <w:b w:val="false"/>
                <w:bCs w:val="false"/>
              </w:rPr>
              <w:t xml:space="preserve">Haber-Bosch at 450 to 550 degrees Celsius, 250 to 350 bar</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One to two per cent of global primary energy, approximately three per cent of global carbon dioxide</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Approximately 230 million tonnes of ammonia per year</w:t>
            </w:r>
          </w:p>
        </w:tc>
        <w:tc>
          <w:tcPr>
            <w:tcW w:type="dxa" w:w="3960"/>
            <w:tcMar>
              <w:top w:type="dxa" w:w="90"/>
              <w:left w:type="dxa" w:w="130"/>
              <w:bottom w:type="dxa" w:w="90"/>
              <w:right w:type="dxa" w:w="130"/>
            </w:tcMar>
          </w:tcPr>
          <w:p>
            <w:pPr>
              <w:spacing w:after="0" w:line="260"/>
            </w:pPr>
            <w:r>
              <w:rPr>
                <w:b w:val="false"/>
                <w:bCs w:val="false"/>
              </w:rPr>
              <w:t xml:space="preserve">Verified, 2018 figure</w:t>
            </w:r>
          </w:p>
        </w:tc>
      </w:tr>
      <w:tr>
        <w:tc>
          <w:tcPr>
            <w:tcW w:type="dxa" w:w="5400"/>
            <w:tcMar>
              <w:top w:type="dxa" w:w="90"/>
              <w:left w:type="dxa" w:w="130"/>
              <w:bottom w:type="dxa" w:w="90"/>
              <w:right w:type="dxa" w:w="130"/>
            </w:tcMar>
          </w:tcPr>
          <w:p>
            <w:pPr>
              <w:spacing w:after="0" w:line="260"/>
            </w:pPr>
            <w:r>
              <w:rPr>
                <w:b w:val="false"/>
                <w:bCs w:val="false"/>
              </w:rPr>
              <w:t xml:space="preserve">Approximately half the nitrogen in human tissue from Haber-Bosch</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Nitrogenase stoichiometry, 16 MgATP per N2; 20 to 25 in vivo</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Nif maturation gene set; insolubility of Nif proteins in plant mitochondria</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Dragline toughness 350 MJ per cubic metre, to 520; tensile strength 450 to 2000 MPa</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Recombinant spidroin fibres at roughly half native diameter, strength and extensibility</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Pardee 2016: 1 to 3 fM, one year room temperature stability, one week design cycle</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LCC ICCG, 90 per cent depolymerisation in 9.3 h at 72 degrees Celsius</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FAST-PETase, five mutations, 51 products within one week at 30 to 50 degrees Celsius</w:t>
            </w:r>
          </w:p>
        </w:tc>
        <w:tc>
          <w:tcPr>
            <w:tcW w:type="dxa" w:w="3960"/>
            <w:tcMar>
              <w:top w:type="dxa" w:w="90"/>
              <w:left w:type="dxa" w:w="130"/>
              <w:bottom w:type="dxa" w:w="90"/>
              <w:right w:type="dxa" w:w="130"/>
            </w:tcMar>
          </w:tcPr>
          <w:p>
            <w:pPr>
              <w:spacing w:after="0" w:line="260"/>
            </w:pPr>
            <w:r>
              <w:rPr>
                <w:b w:val="false"/>
                <w:bCs w:val="false"/>
              </w:rPr>
              <w:t xml:space="preserve">Verified</w:t>
            </w:r>
          </w:p>
        </w:tc>
      </w:tr>
      <w:tr>
        <w:tc>
          <w:tcPr>
            <w:tcW w:type="dxa" w:w="5400"/>
            <w:tcMar>
              <w:top w:type="dxa" w:w="90"/>
              <w:left w:type="dxa" w:w="130"/>
              <w:bottom w:type="dxa" w:w="90"/>
              <w:right w:type="dxa" w:w="130"/>
            </w:tcMar>
          </w:tcPr>
          <w:p>
            <w:pPr>
              <w:spacing w:after="0" w:line="260"/>
            </w:pPr>
            <w:r>
              <w:rPr>
                <w:b w:val="false"/>
                <w:bCs w:val="false"/>
              </w:rPr>
              <w:t xml:space="preserve">DNA storage density</w:t>
            </w:r>
          </w:p>
        </w:tc>
        <w:tc>
          <w:tcPr>
            <w:tcW w:type="dxa" w:w="3960"/>
            <w:tcMar>
              <w:top w:type="dxa" w:w="90"/>
              <w:left w:type="dxa" w:w="130"/>
              <w:bottom w:type="dxa" w:w="90"/>
              <w:right w:type="dxa" w:w="130"/>
            </w:tcMar>
          </w:tcPr>
          <w:p>
            <w:pPr>
              <w:spacing w:after="0" w:line="260"/>
            </w:pPr>
            <w:r>
              <w:rPr>
                <w:b w:val="false"/>
                <w:bCs w:val="false"/>
              </w:rPr>
              <w:t xml:space="preserve">Laboratory record, not a product specification</w:t>
            </w:r>
          </w:p>
        </w:tc>
      </w:tr>
      <w:tr>
        <w:tc>
          <w:tcPr>
            <w:tcW w:type="dxa" w:w="5400"/>
            <w:tcMar>
              <w:top w:type="dxa" w:w="90"/>
              <w:left w:type="dxa" w:w="130"/>
              <w:bottom w:type="dxa" w:w="90"/>
              <w:right w:type="dxa" w:w="130"/>
            </w:tcMar>
          </w:tcPr>
          <w:p>
            <w:pPr>
              <w:spacing w:after="0" w:line="260"/>
            </w:pPr>
            <w:r>
              <w:rPr>
                <w:b w:val="false"/>
                <w:bCs w:val="false"/>
              </w:rPr>
              <w:t xml:space="preserve">Named commercial examples for section 3.2</w:t>
            </w:r>
          </w:p>
        </w:tc>
        <w:tc>
          <w:tcPr>
            <w:tcW w:type="dxa" w:w="3960"/>
            <w:tcMar>
              <w:top w:type="dxa" w:w="90"/>
              <w:left w:type="dxa" w:w="130"/>
              <w:bottom w:type="dxa" w:w="90"/>
              <w:right w:type="dxa" w:w="130"/>
            </w:tcMar>
          </w:tcPr>
          <w:p>
            <w:pPr>
              <w:spacing w:after="0" w:line="260"/>
            </w:pPr>
            <w:r>
              <w:rPr>
                <w:b w:val="false"/>
                <w:bCs w:val="false"/>
              </w:rPr>
              <w:t xml:space="preserve">Not settled. To be checked before the day</w:t>
            </w:r>
          </w:p>
        </w:tc>
      </w:tr>
    </w:tbl>
    <w:p>
      <w:pPr>
        <w:pStyle w:val="Heading1"/>
      </w:pPr>
      <w:r>
        <w:t xml:space="preserve">References</w:t>
      </w:r>
    </w:p>
    <w:p>
      <w:pPr>
        <w:pStyle w:val="ListParagraph"/>
        <w:numPr>
          <w:ilvl w:val="0"/>
          <w:numId w:val="2"/>
        </w:numPr>
        <w:spacing w:after="100" w:line="288"/>
      </w:pPr>
      <w:r>
        <w:t xml:space="preserve">Haber process, operating conditions and energy share: https://en.wikipedia.org/wiki/Haber_process</w:t>
      </w:r>
    </w:p>
    <w:p>
      <w:pPr>
        <w:pStyle w:val="ListParagraph"/>
        <w:numPr>
          <w:ilvl w:val="0"/>
          <w:numId w:val="2"/>
        </w:numPr>
        <w:spacing w:after="100" w:line="288"/>
      </w:pPr>
      <w:r>
        <w:t xml:space="preserve">Nitrogenase structure, stoichiometry and oxygen sensitivity: https://en.wikipedia.org/wiki/Nitrogenase</w:t>
      </w:r>
    </w:p>
    <w:p>
      <w:pPr>
        <w:pStyle w:val="ListParagraph"/>
        <w:numPr>
          <w:ilvl w:val="0"/>
          <w:numId w:val="2"/>
        </w:numPr>
        <w:spacing w:after="100" w:line="288"/>
      </w:pPr>
      <w:r>
        <w:t xml:space="preserve">Nif protein expression in plant mitochondria: Frontiers in Plant Science, 2020, https://www.frontiersin.org/journals/plant-science/articles/10.3389/fpls.2020.552160/full</w:t>
      </w:r>
    </w:p>
    <w:p>
      <w:pPr>
        <w:pStyle w:val="ListParagraph"/>
        <w:numPr>
          <w:ilvl w:val="0"/>
          <w:numId w:val="2"/>
        </w:numPr>
        <w:spacing w:after="100" w:line="288"/>
      </w:pPr>
      <w:r>
        <w:t xml:space="preserve">Spidroin composition and mechanical properties: https://en.wikipedia.org/wiki/Spider_silk</w:t>
      </w:r>
    </w:p>
    <w:p>
      <w:pPr>
        <w:pStyle w:val="ListParagraph"/>
        <w:numPr>
          <w:ilvl w:val="0"/>
          <w:numId w:val="2"/>
        </w:numPr>
        <w:spacing w:after="100" w:line="288"/>
      </w:pPr>
      <w:r>
        <w:t xml:space="preserve">Pardee et al., Rapid, Low-Cost Detection of Zika Virus Using Programmable Biomolecular Components, Cell, 2016: https://www.cell.com/fulltext/S0092-8674(16)30505-0</w:t>
      </w:r>
    </w:p>
    <w:p>
      <w:pPr>
        <w:pStyle w:val="ListParagraph"/>
        <w:numPr>
          <w:ilvl w:val="0"/>
          <w:numId w:val="2"/>
        </w:numPr>
        <w:spacing w:after="100" w:line="288"/>
      </w:pPr>
      <w:r>
        <w:t xml:space="preserve">Tournier et al., An engineered PET depolymerase to break down and recycle plastic bottles, Nature, 2020: https://www.inrae.fr/sites/default/files/an_engineered_pet-depolymerase_to_break_down_and_recycle_plastic_bottles.pdf</w:t>
      </w:r>
    </w:p>
    <w:p>
      <w:pPr>
        <w:pStyle w:val="ListParagraph"/>
        <w:numPr>
          <w:ilvl w:val="0"/>
          <w:numId w:val="2"/>
        </w:numPr>
        <w:spacing w:after="100" w:line="288"/>
      </w:pPr>
      <w:r>
        <w:t xml:space="preserve">Lu et al., Machine learning-aided engineering of hydrolases for PET depolymerization, Nature, 2022: https://www.nature.com/articles/s41586-022-04599-z</w:t>
      </w:r>
    </w:p>
    <w:p>
      <w:pPr>
        <w:pStyle w:val="Heading1"/>
      </w:pPr>
      <w:r>
        <w:t xml:space="preserve">Preparation</w:t>
      </w:r>
    </w:p>
    <w:p>
      <w:pPr>
        <w:pStyle w:val="Heading2"/>
      </w:pPr>
      <w:r>
        <w:t xml:space="preserve">By Saturday 25 October, when submissions close</w:t>
      </w:r>
    </w:p>
    <w:p>
      <w:pPr>
        <w:pStyle w:val="ListParagraph"/>
        <w:numPr>
          <w:ilvl w:val="0"/>
          <w:numId w:val="2"/>
        </w:numPr>
        <w:spacing w:after="100" w:line="288"/>
      </w:pPr>
      <w:r>
        <w:t xml:space="preserve">Export the responses.</w:t>
      </w:r>
    </w:p>
    <w:p>
      <w:pPr>
        <w:pStyle w:val="ListParagraph"/>
        <w:numPr>
          <w:ilvl w:val="0"/>
          <w:numId w:val="2"/>
        </w:numPr>
        <w:spacing w:after="100" w:line="288"/>
      </w:pPr>
      <w:r>
        <w:t xml:space="preserve">Compute totals: submissions received, village distribution, chassis distribution, classes represented.</w:t>
      </w:r>
    </w:p>
    <w:p>
      <w:pPr>
        <w:pStyle w:val="ListParagraph"/>
        <w:numPr>
          <w:ilvl w:val="0"/>
          <w:numId w:val="2"/>
        </w:numPr>
        <w:spacing w:after="100" w:line="288"/>
      </w:pPr>
      <w:r>
        <w:t xml:space="preserve">Extract three verbatim sensing inputs for the opening.</w:t>
      </w:r>
    </w:p>
    <w:p>
      <w:pPr>
        <w:pStyle w:val="Heading2"/>
      </w:pPr>
      <w:r>
        <w:t xml:space="preserve">25 to 27 October, approximately one hour per design</w:t>
      </w:r>
    </w:p>
    <w:p>
      <w:pPr>
        <w:pStyle w:val="ListParagraph"/>
        <w:numPr>
          <w:ilvl w:val="0"/>
          <w:numId w:val="2"/>
        </w:numPr>
        <w:spacing w:after="100" w:line="288"/>
      </w:pPr>
      <w:r>
        <w:t xml:space="preserve">Select the three submissions against the criteria in section five.</w:t>
      </w:r>
    </w:p>
    <w:p>
      <w:pPr>
        <w:pStyle w:val="ListParagraph"/>
        <w:numPr>
          <w:ilvl w:val="0"/>
          <w:numId w:val="2"/>
        </w:numPr>
        <w:spacing w:after="100" w:line="288"/>
      </w:pPr>
      <w:r>
        <w:t xml:space="preserve">For each: establish whether a characterised sensor for the stated input exists and in which organism, identify the nearest real parts, specify the first experiment to the level of equipment and measurable, identify the dominant failure mode and its category, and write the research question.</w:t>
      </w:r>
    </w:p>
    <w:p>
      <w:pPr>
        <w:pStyle w:val="ListParagraph"/>
        <w:numPr>
          <w:ilvl w:val="0"/>
          <w:numId w:val="2"/>
        </w:numPr>
        <w:spacing w:after="100" w:line="288"/>
      </w:pPr>
      <w:r>
        <w:t xml:space="preserve">Settle and verify the commercial examples for section 3.2.</w:t>
      </w:r>
    </w:p>
    <w:p>
      <w:pPr>
        <w:pStyle w:val="ListParagraph"/>
        <w:numPr>
          <w:ilvl w:val="0"/>
          <w:numId w:val="2"/>
        </w:numPr>
        <w:spacing w:after="100" w:line="288"/>
      </w:pPr>
      <w:r>
        <w:t xml:space="preserve">Dry run all three reviews against a clock.</w:t>
      </w:r>
    </w:p>
    <w:p>
      <w:pPr>
        <w:pStyle w:val="ListParagraph"/>
        <w:numPr>
          <w:ilvl w:val="0"/>
          <w:numId w:val="2"/>
        </w:numPr>
        <w:spacing w:after="100" w:line="288"/>
      </w:pPr>
      <w:r>
        <w:t xml:space="preserve">Allocate moves between the two presenters so that they interleave within each review.</w:t>
      </w:r>
    </w:p>
    <w:p>
      <w:pPr>
        <w:pStyle w:val="Heading2"/>
      </w:pPr>
      <w:r>
        <w:t xml:space="preserve">On the morning</w:t>
      </w:r>
    </w:p>
    <w:p>
      <w:pPr>
        <w:pStyle w:val="ListParagraph"/>
        <w:numPr>
          <w:ilvl w:val="0"/>
          <w:numId w:val="2"/>
        </w:numPr>
        <w:spacing w:after="100" w:line="288"/>
      </w:pPr>
      <w:r>
        <w:t xml:space="preserve">In the hall by 7.50am.</w:t>
      </w:r>
    </w:p>
    <w:p>
      <w:pPr>
        <w:pStyle w:val="ListParagraph"/>
        <w:numPr>
          <w:ilvl w:val="0"/>
          <w:numId w:val="2"/>
        </w:numPr>
        <w:spacing w:after="100" w:line="288"/>
      </w:pPr>
      <w:r>
        <w:t xml:space="preserve">Test deck and microphone on the venue system.</w:t>
      </w:r>
    </w:p>
    <w:p>
      <w:pPr>
        <w:pStyle w:val="ListParagraph"/>
        <w:numPr>
          <w:ilvl w:val="0"/>
          <w:numId w:val="2"/>
        </w:numPr>
        <w:spacing w:after="100" w:line="288"/>
      </w:pPr>
      <w:r>
        <w:t xml:space="preserve">Aggregate statistics on screen before entry.</w:t>
      </w:r>
    </w:p>
    <w:p>
      <w:pPr>
        <w:pStyle w:val="Heading1"/>
      </w:pPr>
      <w:r>
        <w:t xml:space="preserve">Outstanding Questions for Ms Leong</w:t>
      </w:r>
    </w:p>
    <w:p>
      <w:pPr>
        <w:pStyle w:val="ListParagraph"/>
        <w:numPr>
          <w:ilvl w:val="0"/>
          <w:numId w:val="2"/>
        </w:numPr>
        <w:spacing w:after="100" w:line="288"/>
      </w:pPr>
      <w:r>
        <w:t xml:space="preserve">Are phones permitted during the reviews? If not, paper is required for approximately two hundred students.</w:t>
      </w:r>
    </w:p>
    <w:p>
      <w:pPr>
        <w:pStyle w:val="ListParagraph"/>
        <w:numPr>
          <w:ilvl w:val="0"/>
          <w:numId w:val="2"/>
        </w:numPr>
        <w:spacing w:after="100" w:line="288"/>
      </w:pPr>
      <w:r>
        <w:t xml:space="preserve">Is a roving microphone available, with an operator?</w:t>
      </w:r>
    </w:p>
    <w:p>
      <w:pPr>
        <w:pStyle w:val="ListParagraph"/>
        <w:numPr>
          <w:ilvl w:val="0"/>
          <w:numId w:val="2"/>
        </w:numPr>
        <w:spacing w:after="100" w:line="288"/>
      </w:pPr>
      <w:r>
        <w:t xml:space="preserve">Does she wish to speak at the start, and for how long?</w:t>
      </w:r>
    </w:p>
    <w:p>
      <w:pPr>
        <w:pStyle w:val="ListParagraph"/>
        <w:numPr>
          <w:ilvl w:val="0"/>
          <w:numId w:val="2"/>
        </w:numPr>
        <w:spacing w:after="100" w:line="288"/>
      </w:pPr>
      <w:r>
        <w:rPr>
          <w:b/>
          <w:bCs/>
        </w:rPr>
        <w:t xml:space="preserve">When will the video and website link be distributed? </w:t>
      </w:r>
      <w:r>
        <w:t xml:space="preserve">Responses must close around 25 October; the second half of the session is constructed from them.</w:t>
      </w:r>
    </w:p>
    <w:p>
      <w:pPr>
        <w:pStyle w:val="ListParagraph"/>
        <w:numPr>
          <w:ilvl w:val="0"/>
          <w:numId w:val="2"/>
        </w:numPr>
        <w:spacing w:after="100" w:line="288"/>
      </w:pPr>
      <w:r>
        <w:t xml:space="preserve">Is honest criticism of student designs, in front of the cohort, acceptable?</w:t>
      </w:r>
    </w:p>
    <w:p>
      <w:pPr>
        <w:pStyle w:val="ListParagraph"/>
        <w:numPr>
          <w:ilvl w:val="0"/>
          <w:numId w:val="2"/>
        </w:numPr>
        <w:spacing w:after="100" w:line="288"/>
      </w:pPr>
      <w:r>
        <w:t xml:space="preserve">Is attribution by class acceptable?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0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380"/>
    </w:pPr>
    <w:rPr>
      <w:rFonts w:ascii="Calibri" w:cs="Calibri" w:eastAsia="Calibri" w:hAnsi="Calibri"/>
      <w:b/>
      <w:bCs/>
      <w:color w:val="1C2024"/>
      <w:sz w:val="30"/>
      <w:szCs w:val="30"/>
    </w:rPr>
  </w:style>
  <w:style w:type="paragraph" w:styleId="Heading2">
    <w:name w:val="Heading 2"/>
    <w:basedOn w:val="Normal"/>
    <w:next w:val="Normal"/>
    <w:qFormat/>
    <w:pPr>
      <w:spacing w:after="130" w:before="280"/>
    </w:pPr>
    <w:rPr>
      <w:rFonts w:ascii="Calibri" w:cs="Calibri" w:eastAsia="Calibri" w:hAnsi="Calibri"/>
      <w:b/>
      <w:bCs/>
      <w:color w:val="1C202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Synthetic Biology Matters: Session Outline and Technical Notes</dc:title>
  <dc:creator>NUS High iGEM 2026</dc:creator>
  <cp:lastModifiedBy>Un-named</cp:lastModifiedBy>
  <cp:revision>1</cp:revision>
  <dcterms:created xsi:type="dcterms:W3CDTF">2026-10-02T15:46:47.423Z</dcterms:created>
  <dcterms:modified xsi:type="dcterms:W3CDTF">2026-10-02T15:46:47.429Z</dcterms:modified>
</cp:coreProperties>
</file>

<file path=docProps/custom.xml><?xml version="1.0" encoding="utf-8"?>
<Properties xmlns="http://schemas.openxmlformats.org/officeDocument/2006/custom-properties" xmlns:vt="http://schemas.openxmlformats.org/officeDocument/2006/docPropsVTypes"/>
</file>