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bookmarkStart w:id="0" w:name="_GoBack"/>
      <w:r>
        <w:rPr>
          <w:color w:val="0070C0"/>
          <w:highlight w:val="yellow"/>
        </w:rPr>
        <w:t>Edit profile and enable Create/Edit/Delete permissions on Products standard object</w:t>
      </w:r>
    </w:p>
    <w:bookmarkEnd w:id="0"/>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lastRenderedPageBreak/>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w:t>
      </w:r>
      <w:proofErr w:type="gramStart"/>
      <w:r w:rsidRPr="0086708A">
        <w:rPr>
          <w:color w:val="0070C0"/>
          <w:highlight w:val="yellow"/>
        </w:rPr>
        <w:t>a partner then add</w:t>
      </w:r>
      <w:proofErr w:type="gramEnd"/>
      <w:r w:rsidRPr="0086708A">
        <w:rPr>
          <w:color w:val="0070C0"/>
          <w:highlight w:val="yellow"/>
        </w:rPr>
        <w:t xml:space="preserve">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Verify the SF “Account Number” field on the Account object’s “Field-Level Security</w:t>
      </w:r>
      <w:proofErr w:type="gramStart"/>
      <w:r>
        <w:rPr>
          <w:color w:val="0070C0"/>
        </w:rPr>
        <w:t>”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B2E35"/>
    <w:rsid w:val="00DF23F9"/>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14640</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40</cp:revision>
  <dcterms:created xsi:type="dcterms:W3CDTF">2017-04-27T01:12:00Z</dcterms:created>
  <dcterms:modified xsi:type="dcterms:W3CDTF">2018-04-19T16:53:00Z</dcterms:modified>
</cp:coreProperties>
</file>