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17.33 – 17.38 check the manual steps in 17.38.  Correct the picklist values </w:t>
      </w:r>
      <w:proofErr w:type="gramStart"/>
      <w:r w:rsidRPr="000E23A7">
        <w:rPr>
          <w:color w:val="0070C0"/>
          <w:highlight w:val="yellow"/>
        </w:rPr>
        <w:t>for  pocntl</w:t>
      </w:r>
      <w:proofErr w:type="gramEnd"/>
      <w:r w:rsidRPr="000E23A7">
        <w:rPr>
          <w:color w:val="0070C0"/>
          <w:highlight w:val="yellow"/>
        </w:rPr>
        <w:t>_</w:t>
      </w:r>
      <w:proofErr w:type="spellStart"/>
      <w:r w:rsidRPr="000E23A7">
        <w:rPr>
          <w:color w:val="0070C0"/>
          <w:highlight w:val="yellow"/>
        </w:rPr>
        <w:t>itemselectfileind</w:t>
      </w:r>
      <w:proofErr w:type="spellEnd"/>
      <w:r w:rsidRPr="000E23A7">
        <w:rPr>
          <w:color w:val="0070C0"/>
          <w:highlight w:val="yellow"/>
        </w:rPr>
        <w:t>__c as described in 17.38 manual steps.</w:t>
      </w:r>
      <w:bookmarkStart w:id="0" w:name="_GoBack"/>
      <w:bookmarkEnd w:id="0"/>
      <w:r>
        <w:rPr>
          <w:color w:val="0070C0"/>
        </w:rPr>
        <w:t xml:space="preserve">  </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lastRenderedPageBreak/>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Pr>
          <w:color w:val="0070C0"/>
          <w:highlight w:val="yellow"/>
        </w:rPr>
        <w:t xml:space="preserve">If installing an interim release be sure to run any menu scripts for subsequent releases.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E23A7"/>
    <w:rsid w:val="001E05FE"/>
    <w:rsid w:val="002F41B7"/>
    <w:rsid w:val="00451914"/>
    <w:rsid w:val="004E6C83"/>
    <w:rsid w:val="005B1769"/>
    <w:rsid w:val="005F7054"/>
    <w:rsid w:val="0067774F"/>
    <w:rsid w:val="0077696C"/>
    <w:rsid w:val="008D2ADB"/>
    <w:rsid w:val="00A73997"/>
    <w:rsid w:val="00B62212"/>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10</cp:revision>
  <dcterms:created xsi:type="dcterms:W3CDTF">2017-04-27T01:12:00Z</dcterms:created>
  <dcterms:modified xsi:type="dcterms:W3CDTF">2017-12-07T00:14:00Z</dcterms:modified>
</cp:coreProperties>
</file>