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F5D21">
        <w:rPr>
          <w:strike/>
        </w:rPr>
        <w:t>Re-name</w:t>
      </w:r>
      <w:r w:rsidRPr="00FA4979">
        <w:t xml:space="preserve"> </w:t>
      </w:r>
      <w:r w:rsidR="007F5D21">
        <w:t xml:space="preserve"> Use Replace button to change </w:t>
      </w:r>
      <w:r w:rsidRPr="00FA4979">
        <w:t>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0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1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2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  <w:r w:rsidR="00603FFE">
        <w:t xml:space="preserve"> – </w:t>
      </w:r>
      <w:r w:rsidR="00603FFE" w:rsidRPr="00603FFE">
        <w:rPr>
          <w:highlight w:val="yellow"/>
        </w:rPr>
        <w:t>Note the space after m_ in the invalid value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 xml:space="preserve">Replace App Security Key (m_ </w:t>
      </w:r>
      <w:proofErr w:type="spellStart"/>
      <w:r>
        <w:t>sowarrtype</w:t>
      </w:r>
      <w:proofErr w:type="spellEnd"/>
      <w:r>
        <w:t>__c) with (m_</w:t>
      </w:r>
      <w:proofErr w:type="spellStart"/>
      <w:r>
        <w:t>sowarrtype</w:t>
      </w:r>
      <w:proofErr w:type="spellEnd"/>
      <w:r>
        <w:t>__c)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>Replace App Secu</w:t>
      </w:r>
      <w:r w:rsidR="00603FFE">
        <w:t xml:space="preserve">rity Key (m_ </w:t>
      </w:r>
      <w:proofErr w:type="spellStart"/>
      <w:r w:rsidR="00603FFE">
        <w:t>soagh</w:t>
      </w:r>
      <w:proofErr w:type="spellEnd"/>
      <w:r w:rsidR="00603FFE">
        <w:t>__c) with (m_</w:t>
      </w:r>
      <w:proofErr w:type="spellStart"/>
      <w:r>
        <w:t>soagh</w:t>
      </w:r>
      <w:proofErr w:type="spellEnd"/>
      <w:r>
        <w:t>__c)</w:t>
      </w:r>
    </w:p>
    <w:p w:rsidR="00C51B43" w:rsidRPr="00374B0A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bookmarkStart w:id="1" w:name="_GoBack"/>
      <w:r>
        <w:t>Ticket #19884</w:t>
      </w:r>
      <w:r w:rsidR="00374B0A">
        <w:t xml:space="preserve"> </w:t>
      </w:r>
      <w:bookmarkEnd w:id="1"/>
      <w:r w:rsidR="00374B0A">
        <w:t xml:space="preserve">– </w:t>
      </w:r>
      <w:r w:rsidR="00374B0A" w:rsidRPr="00374B0A">
        <w:rPr>
          <w:highlight w:val="yellow"/>
        </w:rPr>
        <w:t xml:space="preserve">Run this script after it is fixed in SVN to fix </w:t>
      </w:r>
      <w:proofErr w:type="spellStart"/>
      <w:r w:rsidR="00374B0A" w:rsidRPr="00374B0A">
        <w:rPr>
          <w:highlight w:val="yellow"/>
        </w:rPr>
        <w:t>sylimits</w:t>
      </w:r>
      <w:proofErr w:type="spellEnd"/>
      <w:r w:rsidR="00374B0A" w:rsidRPr="00374B0A">
        <w:rPr>
          <w:highlight w:val="yellow"/>
        </w:rPr>
        <w:t xml:space="preserve"> record</w:t>
      </w:r>
    </w:p>
    <w:p w:rsidR="00C51B43" w:rsidRPr="00374B0A" w:rsidRDefault="00C51B43" w:rsidP="00C51B43">
      <w:pPr>
        <w:pStyle w:val="ListParagraph"/>
        <w:numPr>
          <w:ilvl w:val="1"/>
          <w:numId w:val="35"/>
        </w:numPr>
        <w:rPr>
          <w:strike/>
        </w:rPr>
      </w:pPr>
      <w:r w:rsidRPr="00374B0A">
        <w:rPr>
          <w:strike/>
        </w:rP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7F5D21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05FF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04E21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0B000000EU0C" TargetMode="Externa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test.salesforce.com/packaging/installPackage.apexp?p0=04t0B000000A2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login.salesforce.com/packaging/installPackage.apexp?p0=04t0B000000A2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hyperlink" Target="https://test.salesforce.com/packaging/installPackage.apexp?p0=04t0B000000EU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11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17</cp:revision>
  <dcterms:created xsi:type="dcterms:W3CDTF">2018-01-19T16:03:00Z</dcterms:created>
  <dcterms:modified xsi:type="dcterms:W3CDTF">2018-02-08T19:23:00Z</dcterms:modified>
</cp:coreProperties>
</file>