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lastRenderedPageBreak/>
        <w:t xml:space="preserve">This must be done using the appropriate UI.  </w:t>
      </w:r>
    </w:p>
    <w:p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</w:t>
      </w:r>
      <w:r>
        <w:rPr>
          <w:color w:val="0070C0"/>
          <w:highlight w:val="yellow"/>
        </w:rPr>
        <w:t xml:space="preserve"> every installation – may be a SF bug.</w:t>
      </w:r>
      <w:bookmarkStart w:id="0" w:name="_GoBack"/>
      <w:bookmarkEnd w:id="0"/>
    </w:p>
    <w:p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proofErr w:type="gramEnd"/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:rsidR="002D052B" w:rsidRPr="003E6138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Verify the SF “Account Number” field on the Account object’s “Field-Level Security</w:t>
      </w:r>
      <w:proofErr w:type="gramStart"/>
      <w:r>
        <w:rPr>
          <w:color w:val="0070C0"/>
        </w:rPr>
        <w:t>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7E072D" w:rsidRPr="007E072D" w:rsidRDefault="00A42192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lastRenderedPageBreak/>
        <w:t>S</w:t>
      </w:r>
      <w:r w:rsidR="008066AE" w:rsidRPr="007E072D">
        <w:rPr>
          <w:color w:val="0070C0"/>
          <w:highlight w:val="yellow"/>
        </w:rPr>
        <w:t>e</w:t>
      </w:r>
      <w:r w:rsidR="007E072D" w:rsidRPr="007E072D">
        <w:rPr>
          <w:color w:val="0070C0"/>
          <w:highlight w:val="yellow"/>
        </w:rPr>
        <w:t xml:space="preserve">t </w:t>
      </w:r>
      <w:r w:rsidR="008E4304">
        <w:rPr>
          <w:color w:val="0070C0"/>
          <w:highlight w:val="yellow"/>
        </w:rPr>
        <w:t>‘</w:t>
      </w:r>
      <w:r w:rsidR="007E072D" w:rsidRPr="007E072D">
        <w:rPr>
          <w:color w:val="0070C0"/>
          <w:highlight w:val="yellow"/>
        </w:rPr>
        <w:t>Authorized Financial Users</w:t>
      </w:r>
      <w:r w:rsidR="008E4304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based on </w:t>
      </w:r>
      <w:r w:rsidR="007E072D">
        <w:rPr>
          <w:color w:val="0070C0"/>
          <w:highlight w:val="yellow"/>
        </w:rPr>
        <w:t>the ‘</w:t>
      </w:r>
      <w:r w:rsidR="007E072D" w:rsidRPr="007E072D">
        <w:rPr>
          <w:color w:val="0070C0"/>
          <w:highlight w:val="yellow"/>
        </w:rPr>
        <w:t>Rootstock Financial Apps</w:t>
      </w:r>
      <w:r w:rsidR="007E072D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value in </w:t>
      </w:r>
      <w:r w:rsidR="007E072D">
        <w:rPr>
          <w:color w:val="0070C0"/>
          <w:highlight w:val="yellow"/>
        </w:rPr>
        <w:t xml:space="preserve">the </w:t>
      </w:r>
      <w:r w:rsidR="007E072D" w:rsidRPr="007E072D">
        <w:rPr>
          <w:color w:val="0070C0"/>
          <w:highlight w:val="yellow"/>
        </w:rPr>
        <w:t>SSO</w:t>
      </w:r>
      <w:r w:rsidR="007E072D">
        <w:rPr>
          <w:color w:val="0070C0"/>
          <w:highlight w:val="yellow"/>
        </w:rPr>
        <w:t xml:space="preserve">.  </w:t>
      </w:r>
      <w:r w:rsidR="007E072D" w:rsidRPr="007E072D">
        <w:rPr>
          <w:color w:val="0070C0"/>
          <w:highlight w:val="yellow"/>
        </w:rPr>
        <w:t xml:space="preserve">These licenses are NOT included in the ‘Number of Authorized Users’ </w:t>
      </w:r>
      <w:proofErr w:type="gramStart"/>
      <w:r w:rsidR="007E072D" w:rsidRPr="007E072D">
        <w:rPr>
          <w:color w:val="0070C0"/>
          <w:highlight w:val="yellow"/>
        </w:rPr>
        <w:t>and  ‘Number</w:t>
      </w:r>
      <w:proofErr w:type="gramEnd"/>
      <w:r w:rsidR="007E072D" w:rsidRPr="007E072D">
        <w:rPr>
          <w:color w:val="0070C0"/>
          <w:highlight w:val="yellow"/>
        </w:rPr>
        <w:t xml:space="preserve"> of Paid User Licenses’ fields.</w:t>
      </w:r>
    </w:p>
    <w:p w:rsidR="008066AE" w:rsidRPr="007E072D" w:rsidRDefault="008066AE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>If in doubt set to 0 and place a comment on the ticket asking for clarification.</w:t>
      </w:r>
    </w:p>
    <w:p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</w:t>
      </w:r>
      <w:proofErr w:type="spellEnd"/>
      <w:r w:rsidRPr="0091119A">
        <w:rPr>
          <w:strike/>
          <w:color w:val="0070C0"/>
          <w:highlight w:val="yellow"/>
        </w:rPr>
        <w:t>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7955D2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Login to the customer production org</w:t>
      </w:r>
    </w:p>
    <w:p w:rsidR="007955D2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Search for </w:t>
      </w:r>
      <w:proofErr w:type="spellStart"/>
      <w:r>
        <w:rPr>
          <w:color w:val="0070C0"/>
        </w:rPr>
        <w:t>Sdocs</w:t>
      </w:r>
      <w:proofErr w:type="spellEnd"/>
      <w:r>
        <w:rPr>
          <w:color w:val="0070C0"/>
        </w:rPr>
        <w:t xml:space="preserve"> on the AppExchange </w:t>
      </w:r>
      <w:r>
        <w:rPr>
          <w:rFonts w:ascii="Calibri" w:hAnsi="Calibri" w:cs="Times New Roman"/>
          <w:color w:val="0070C0"/>
        </w:rPr>
        <w:t xml:space="preserve">and select ‘Get It Now’ </w:t>
      </w:r>
    </w:p>
    <w:p w:rsidR="00EE1B6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Login and Get It Now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lastRenderedPageBreak/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F6597"/>
    <w:rsid w:val="00135ECD"/>
    <w:rsid w:val="001D0014"/>
    <w:rsid w:val="001E6099"/>
    <w:rsid w:val="001E7C73"/>
    <w:rsid w:val="00211FE1"/>
    <w:rsid w:val="002C28B5"/>
    <w:rsid w:val="002D052B"/>
    <w:rsid w:val="0036141D"/>
    <w:rsid w:val="00366140"/>
    <w:rsid w:val="00392DF7"/>
    <w:rsid w:val="003E215F"/>
    <w:rsid w:val="0042735D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B010DF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45</cp:revision>
  <dcterms:created xsi:type="dcterms:W3CDTF">2017-07-25T21:49:00Z</dcterms:created>
  <dcterms:modified xsi:type="dcterms:W3CDTF">2018-03-02T18:04:00Z</dcterms:modified>
</cp:coreProperties>
</file>