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6D4BFE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6D4BFE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6D4BF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6D4BFE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6D4BFE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6D4BFE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6D4BFE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6D4BFE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6D4BFE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 xml:space="preserve">Jira </w:t>
      </w:r>
      <w:r>
        <w:t>1984</w:t>
      </w:r>
      <w:r>
        <w:t>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bookmarkStart w:id="1" w:name="_GoBack"/>
      <w:bookmarkEnd w:id="1"/>
      <w:proofErr w:type="spellEnd"/>
      <w:r>
        <w:t>__c</w:t>
      </w:r>
    </w:p>
    <w:p w14:paraId="15348DE2" w14:textId="77777777" w:rsidR="00F470D7" w:rsidRDefault="00F470D7" w:rsidP="00F470D7"/>
    <w:sectPr w:rsidR="00F47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556F73"/>
    <w:rsid w:val="0062709C"/>
    <w:rsid w:val="00653154"/>
    <w:rsid w:val="006D4BFE"/>
    <w:rsid w:val="008133F9"/>
    <w:rsid w:val="008D08EB"/>
    <w:rsid w:val="00960FF0"/>
    <w:rsid w:val="00A03A1B"/>
    <w:rsid w:val="00AB2484"/>
    <w:rsid w:val="00B31562"/>
    <w:rsid w:val="00B63E93"/>
    <w:rsid w:val="00BD17B8"/>
    <w:rsid w:val="00C471B2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43</cp:revision>
  <dcterms:created xsi:type="dcterms:W3CDTF">2019-02-14T10:59:00Z</dcterms:created>
  <dcterms:modified xsi:type="dcterms:W3CDTF">2019-05-16T12:47:00Z</dcterms:modified>
</cp:coreProperties>
</file>