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752789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752789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75278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752789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752789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752789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752789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752789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752789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752789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752789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752789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752789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752789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752789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75278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75278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752789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752789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752789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752789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752789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752789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752789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752789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752789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752789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752789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752789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752789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752789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752789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752789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752789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752789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752789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75278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75278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75278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75278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75278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75278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75278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75278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75278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75278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75278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75278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75278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75278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75278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75278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75278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75278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75278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75278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752789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752789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752789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752789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752789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752789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752789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752789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752789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752789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752789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752789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752789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752789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 xml:space="preserve">__c double </w:t>
      </w:r>
      <w:proofErr w:type="gramStart"/>
      <w:r w:rsidRPr="005B3C59">
        <w:rPr>
          <w:rFonts w:cs="Arial"/>
          <w:color w:val="1D1C1D"/>
          <w:shd w:val="clear" w:color="auto" w:fill="F8F8F8"/>
        </w:rPr>
        <w:t>precision;</w:t>
      </w:r>
      <w:proofErr w:type="gramEnd"/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752789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752789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752789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752789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752789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752789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752789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752789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752789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752789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('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update_payref_glbanktxn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spellStart"/>
      <w:proofErr w:type="gramStart"/>
      <w:r>
        <w:t>glacct</w:t>
      </w:r>
      <w:proofErr w:type="spellEnd"/>
      <w:proofErr w:type="gramEnd"/>
      <w:r>
        <w:t>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gramStart"/>
      <w:r>
        <w:t>glacct</w:t>
      </w:r>
      <w:proofErr w:type="gramEnd"/>
      <w:r>
        <w:t>_</w:t>
      </w:r>
      <w:proofErr w:type="spellStart"/>
      <w:r>
        <w:t>cfsection</w:t>
      </w:r>
      <w:proofErr w:type="spellEnd"/>
      <w:r>
        <w:t>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lastRenderedPageBreak/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</w:t>
      </w:r>
      <w:proofErr w:type="spellStart"/>
      <w:proofErr w:type="gramStart"/>
      <w:r>
        <w:t>rifrsec</w:t>
      </w:r>
      <w:proofErr w:type="spellEnd"/>
      <w:proofErr w:type="gramEnd"/>
      <w:r>
        <w:t>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proofErr w:type="gramStart"/>
      <w:r>
        <w:tab/>
        <w:t xml:space="preserve">  ‘</w:t>
      </w:r>
      <w:proofErr w:type="gramEnd"/>
      <w:r>
        <w:t>rifrsec_</w:t>
      </w:r>
      <w:proofErr w:type="spellStart"/>
      <w:r>
        <w:t>cfsection</w:t>
      </w:r>
      <w:proofErr w:type="spellEnd"/>
      <w:r>
        <w:t>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glacct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>__</w:t>
      </w:r>
      <w:proofErr w:type="spellStart"/>
      <w:proofErr w:type="gramStart"/>
      <w:r w:rsidRPr="00C468B5">
        <w:rPr>
          <w:rFonts w:ascii="Segoe UI" w:hAnsi="Segoe UI" w:cs="Segoe UI"/>
          <w:spacing w:val="-1"/>
          <w:sz w:val="21"/>
          <w:szCs w:val="21"/>
        </w:rPr>
        <w:t>c.object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</w:rPr>
        <w:t xml:space="preserve">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</w:t>
      </w:r>
      <w:proofErr w:type="gram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glacct</w:t>
      </w:r>
      <w:proofErr w:type="gram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</w:t>
      </w:r>
      <w:proofErr w:type="spell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fxtype</w:t>
      </w:r>
      <w:proofErr w:type="spell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t xml:space="preserve">  ‘</w:t>
      </w:r>
      <w:proofErr w:type="spellStart"/>
      <w:proofErr w:type="gramStart"/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</w:t>
      </w:r>
      <w:proofErr w:type="spellEnd"/>
      <w:proofErr w:type="gramEnd"/>
      <w:r w:rsidRPr="00296267">
        <w:rPr>
          <w:rFonts w:asciiTheme="minorHAnsi" w:hAnsiTheme="minorHAnsi" w:cs="Segoe UI"/>
          <w:spacing w:val="-1"/>
          <w:sz w:val="22"/>
          <w:szCs w:val="22"/>
        </w:rPr>
        <w:t>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gramStart"/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>lbankacct</w:t>
      </w:r>
      <w:proofErr w:type="gramEnd"/>
      <w:r w:rsidRPr="00C468B5">
        <w:rPr>
          <w:rFonts w:asciiTheme="minorHAnsi" w:hAnsiTheme="minorHAnsi" w:cs="Segoe UI"/>
          <w:spacing w:val="-1"/>
          <w:sz w:val="21"/>
          <w:szCs w:val="21"/>
        </w:rPr>
        <w:t>_</w:t>
      </w:r>
      <w:proofErr w:type="spellStart"/>
      <w:r w:rsidRPr="00C468B5">
        <w:rPr>
          <w:rFonts w:asciiTheme="minorHAnsi" w:hAnsiTheme="minorHAnsi" w:cs="Segoe UI"/>
          <w:spacing w:val="-1"/>
          <w:sz w:val="21"/>
          <w:szCs w:val="21"/>
        </w:rPr>
        <w:t>sepaformat</w:t>
      </w:r>
      <w:proofErr w:type="spellEnd"/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C468B5">
        <w:rPr>
          <w:rFonts w:cs="Arial"/>
          <w:color w:val="1D1C1D"/>
          <w:shd w:val="clear" w:color="auto" w:fill="F8F8F8"/>
        </w:rPr>
        <w:t>arinvdue</w:t>
      </w:r>
      <w:proofErr w:type="spellEnd"/>
      <w:proofErr w:type="gramEnd"/>
      <w:r w:rsidRPr="00C468B5">
        <w:rPr>
          <w:rFonts w:cs="Arial"/>
          <w:color w:val="1D1C1D"/>
          <w:shd w:val="clear" w:color="auto" w:fill="F8F8F8"/>
        </w:rPr>
        <w:t xml:space="preserve">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proofErr w:type="spellStart"/>
      <w:r w:rsidRPr="00215ECE">
        <w:t>DIscount_Taken_Exceed_Available_Discount</w:t>
      </w:r>
      <w:proofErr w:type="spellEnd"/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lastRenderedPageBreak/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>
        <w:t>glyear</w:t>
      </w:r>
      <w:proofErr w:type="spellEnd"/>
      <w:proofErr w:type="gramEnd"/>
      <w:r>
        <w:t>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proofErr w:type="spellStart"/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  <w:proofErr w:type="spellEnd"/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752789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752789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752789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752789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621550">
        <w:t>arcashh</w:t>
      </w:r>
      <w:proofErr w:type="spellEnd"/>
      <w:proofErr w:type="gramEnd"/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144.1</w:t>
      </w:r>
    </w:p>
    <w:p w14:paraId="0B73F07D" w14:textId="4464FEC5" w:rsidR="00B84ABE" w:rsidRPr="0058498A" w:rsidRDefault="00752789" w:rsidP="00B84ABE">
      <w:hyperlink r:id="rId98" w:history="1">
        <w:r w:rsidR="00B84ABE">
          <w:rPr>
            <w:rStyle w:val="Hyperlink"/>
          </w:rPr>
          <w:t>https://login.salesforce.com/packaging/installPackage.apexp?p0=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79DD9C43" w14:textId="57F60BB1" w:rsidR="00B84ABE" w:rsidRPr="0058498A" w:rsidRDefault="00752789" w:rsidP="00B84ABE">
      <w:hyperlink r:id="rId99" w:history="1">
        <w:r w:rsidR="00B84ABE">
          <w:rPr>
            <w:rStyle w:val="Hyperlink"/>
          </w:rPr>
          <w:t>https://test.salesforce.com/packaging/installPackage.apexp?p0=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45</w:t>
      </w:r>
    </w:p>
    <w:p w14:paraId="59E8E734" w14:textId="77777777" w:rsidR="0008423D" w:rsidRPr="00486D5B" w:rsidRDefault="00752789" w:rsidP="00A10E19">
      <w:hyperlink r:id="rId100" w:tgtFrame="_blank" w:history="1">
        <w:r w:rsidR="0008423D"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752789" w:rsidP="00A10E19">
      <w:pPr>
        <w:rPr>
          <w:rFonts w:cs="Times New Roman"/>
          <w:color w:val="212121"/>
        </w:rPr>
      </w:pPr>
      <w:hyperlink r:id="rId101" w:history="1">
        <w:r w:rsidR="00F739EA"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https://test.salesforce.com/packaging/installPackage.apexp?p0=04t1P000000kaV4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0143F77B" w:rsidR="00891B95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 xml:space="preserve">Value </w:t>
      </w:r>
      <w:r w:rsidR="008C3555">
        <w:rPr>
          <w:sz w:val="18"/>
          <w:szCs w:val="18"/>
        </w:rPr>
        <w:t>–</w:t>
      </w:r>
      <w:r w:rsidRPr="000C69B3">
        <w:rPr>
          <w:sz w:val="18"/>
          <w:szCs w:val="18"/>
        </w:rPr>
        <w:t xml:space="preserve"> false</w:t>
      </w:r>
    </w:p>
    <w:p w14:paraId="05768F4B" w14:textId="18EC38FF" w:rsidR="008C3555" w:rsidRDefault="008C3555" w:rsidP="00891B95">
      <w:pPr>
        <w:ind w:left="720"/>
        <w:rPr>
          <w:sz w:val="18"/>
          <w:szCs w:val="18"/>
        </w:rPr>
      </w:pPr>
    </w:p>
    <w:p w14:paraId="037C8455" w14:textId="77777777" w:rsidR="008C3555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4A69C0B7" w14:textId="5D52C9B5" w:rsidR="008C3555" w:rsidRPr="00D2235E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lastRenderedPageBreak/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46</w:t>
      </w:r>
    </w:p>
    <w:p w14:paraId="39534423" w14:textId="5C5C384E" w:rsidR="008C3555" w:rsidRPr="008C3555" w:rsidRDefault="00752789" w:rsidP="008C3555">
      <w:pPr>
        <w:rPr>
          <w:sz w:val="20"/>
          <w:szCs w:val="20"/>
        </w:rPr>
      </w:pPr>
      <w:hyperlink r:id="rId102" w:history="1">
        <w:r w:rsidR="008C3555" w:rsidRPr="008C355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https://login.salesforce.com/packaging/installPackage.apexp?p0=04t1P000000kaWb</w:t>
        </w:r>
      </w:hyperlink>
    </w:p>
    <w:p w14:paraId="58335BFB" w14:textId="104F41AC" w:rsidR="008C3555" w:rsidRPr="008C3555" w:rsidRDefault="00752789" w:rsidP="008C3555">
      <w:pPr>
        <w:rPr>
          <w:sz w:val="20"/>
          <w:szCs w:val="20"/>
        </w:rPr>
      </w:pPr>
      <w:hyperlink r:id="rId103" w:history="1"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https://test.salesforce.com/packaging/installPackage.apexp?p0=04t1P000000kaWb</w:t>
        </w:r>
      </w:hyperlink>
    </w:p>
    <w:p w14:paraId="08BBE45B" w14:textId="2B34349D" w:rsidR="008C3555" w:rsidRDefault="008C3555" w:rsidP="00891B95">
      <w:pPr>
        <w:ind w:left="720"/>
        <w:rPr>
          <w:sz w:val="18"/>
          <w:szCs w:val="18"/>
        </w:rPr>
      </w:pPr>
    </w:p>
    <w:p w14:paraId="4427EC03" w14:textId="3F5A2E5D" w:rsidR="00FA1277" w:rsidRPr="00060CB3" w:rsidRDefault="00FA1277" w:rsidP="00FA1277">
      <w:pPr>
        <w:rPr>
          <w:rFonts w:ascii="Arial" w:hAnsi="Arial" w:cs="Arial"/>
          <w:color w:val="1D1C1D"/>
          <w:shd w:val="clear" w:color="auto" w:fill="F8F8F8"/>
        </w:rPr>
      </w:pPr>
      <w:r w:rsidRPr="00060CB3">
        <w:rPr>
          <w:rFonts w:ascii="Arial" w:hAnsi="Arial" w:cs="Arial"/>
          <w:color w:val="1D1C1D"/>
          <w:shd w:val="clear" w:color="auto" w:fill="F8F8F8"/>
        </w:rPr>
        <w:t>RSTK-9822:</w:t>
      </w:r>
    </w:p>
    <w:p w14:paraId="4A95FCDD" w14:textId="73C90DC4" w:rsidR="00FA1277" w:rsidRPr="00060CB3" w:rsidRDefault="00FA1277" w:rsidP="00060CB3">
      <w:pPr>
        <w:ind w:firstLine="720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Run Script – </w:t>
      </w:r>
    </w:p>
    <w:p w14:paraId="65F03B8C" w14:textId="25E606CC" w:rsidR="008C3555" w:rsidRPr="00060CB3" w:rsidRDefault="008C3555" w:rsidP="00060C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proofErr w:type="spellStart"/>
      <w:proofErr w:type="gram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rstkf.ScriptExecutor.execute</w:t>
      </w:r>
      <w:proofErr w:type="spellEnd"/>
      <w:proofErr w:type="gram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('</w:t>
      </w:r>
      <w:proofErr w:type="spell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setGlTxnMultiCompanyFields</w:t>
      </w:r>
      <w:proofErr w:type="spell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', true);</w:t>
      </w:r>
    </w:p>
    <w:p w14:paraId="3E61B0CE" w14:textId="6AF9BB1F" w:rsidR="00891B95" w:rsidRDefault="00891B95" w:rsidP="00A10E19">
      <w:pPr>
        <w:rPr>
          <w:rFonts w:cs="Times New Roman"/>
          <w:color w:val="212121"/>
        </w:rPr>
      </w:pPr>
    </w:p>
    <w:p w14:paraId="12E9C11C" w14:textId="0F1FC79C" w:rsidR="000E4436" w:rsidRDefault="000E4436" w:rsidP="000E443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E443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147</w:t>
      </w:r>
    </w:p>
    <w:p w14:paraId="5139697D" w14:textId="253E93D7" w:rsidR="000E4436" w:rsidRPr="000E4436" w:rsidRDefault="00752789" w:rsidP="000E4436">
      <w:pPr>
        <w:shd w:val="clear" w:color="auto" w:fill="FFFFFF"/>
        <w:ind w:right="-120"/>
        <w:rPr>
          <w:sz w:val="20"/>
          <w:szCs w:val="20"/>
        </w:rPr>
      </w:pPr>
      <w:hyperlink r:id="rId104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6CBA5E45" w14:textId="39714C39" w:rsidR="000E4436" w:rsidRDefault="00752789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  <w:hyperlink r:id="rId105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4A85F515" w14:textId="10180052" w:rsidR="001B1613" w:rsidRDefault="001B1613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</w:p>
    <w:p w14:paraId="0600AF51" w14:textId="79AE2F41" w:rsidR="001B1613" w:rsidRDefault="001B1613" w:rsidP="001B161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50</w:t>
      </w:r>
    </w:p>
    <w:p w14:paraId="03D10D87" w14:textId="19124023" w:rsidR="001B1613" w:rsidRPr="003573D5" w:rsidRDefault="003573D5" w:rsidP="000E4436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106" w:history="1">
        <w:r w:rsidRPr="003573D5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https://login.salesforce.com/packaging/installPackage.apexp?p0=04t1P000000kaYI</w:t>
        </w:r>
      </w:hyperlink>
      <w:r w:rsidRPr="003573D5">
        <w:t xml:space="preserve"> </w:t>
      </w:r>
      <w:hyperlink r:id="rId107" w:history="1">
        <w:r w:rsidRPr="003573D5">
          <w:rPr>
            <w:rStyle w:val="Hyperlink"/>
            <w:rFonts w:cs="Arial"/>
            <w:shd w:val="clear" w:color="auto" w:fill="FFFFFF"/>
          </w:rPr>
          <w:t>https://</w:t>
        </w:r>
        <w:r w:rsidRPr="003573D5">
          <w:rPr>
            <w:rStyle w:val="Hyperlink"/>
            <w:rFonts w:cs="Arial"/>
            <w:shd w:val="clear" w:color="auto" w:fill="FFFFFF"/>
          </w:rPr>
          <w:t>test</w:t>
        </w:r>
        <w:r w:rsidRPr="003573D5">
          <w:rPr>
            <w:rStyle w:val="Hyperlink"/>
            <w:rFonts w:cs="Arial"/>
            <w:shd w:val="clear" w:color="auto" w:fill="FFFFFF"/>
          </w:rPr>
          <w:t>.salesforce.com/packaging/installPackage.apexp?p0=04t1P000000kaYI</w:t>
        </w:r>
      </w:hyperlink>
    </w:p>
    <w:p w14:paraId="7CF712C0" w14:textId="69B1E136" w:rsidR="001B1613" w:rsidRPr="00DD1BEC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r w:rsidRPr="00DD1BEC">
        <w:rPr>
          <w:rFonts w:cs="Arial"/>
          <w:color w:val="1D1C1D"/>
          <w:shd w:val="clear" w:color="auto" w:fill="FFFFFF"/>
        </w:rPr>
        <w:t>RSTK-7771:</w:t>
      </w:r>
    </w:p>
    <w:p w14:paraId="20871180" w14:textId="1BBC76AB" w:rsidR="001B1613" w:rsidRPr="001B1613" w:rsidRDefault="001B1613" w:rsidP="001B1613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2"/>
          <w:szCs w:val="22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proofErr w:type="spellStart"/>
      <w:r w:rsidRPr="001B1613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povendcmpno</w:t>
      </w:r>
      <w:proofErr w:type="spellEnd"/>
      <w:r w:rsidRPr="001B1613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__</w:t>
      </w:r>
      <w:proofErr w:type="gramStart"/>
      <w:r w:rsidRPr="001B1613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c</w:t>
      </w:r>
      <w:r w:rsidRPr="001B1613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 </w:t>
      </w:r>
      <w:r w:rsidRPr="001B1613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-</w:t>
      </w:r>
      <w:proofErr w:type="gramEnd"/>
      <w:r w:rsidRPr="001B1613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new picklist value</w:t>
      </w:r>
    </w:p>
    <w:p w14:paraId="59A05463" w14:textId="43491AC6" w:rsidR="001B1613" w:rsidRPr="001B1613" w:rsidRDefault="001B1613" w:rsidP="001B1613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2"/>
          <w:szCs w:val="22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</w:t>
      </w:r>
      <w:r>
        <w:rPr>
          <w:rStyle w:val="js-issue-title"/>
          <w:rFonts w:asciiTheme="minorHAnsi" w:hAnsiTheme="minorHAnsi" w:cs="Segoe UI"/>
          <w:sz w:val="22"/>
          <w:szCs w:val="22"/>
        </w:rPr>
        <w:tab/>
      </w: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‘</w:t>
      </w:r>
      <w:proofErr w:type="gramStart"/>
      <w:r w:rsidRPr="001B1613">
        <w:rPr>
          <w:rFonts w:asciiTheme="minorHAnsi" w:hAnsiTheme="minorHAnsi" w:cs="Arial"/>
          <w:sz w:val="22"/>
          <w:szCs w:val="22"/>
          <w:shd w:val="clear" w:color="auto" w:fill="FFFFFF"/>
        </w:rPr>
        <w:t>povendcmpno</w:t>
      </w:r>
      <w:proofErr w:type="gramEnd"/>
      <w:r w:rsidRPr="001B1613">
        <w:rPr>
          <w:rFonts w:asciiTheme="minorHAnsi" w:hAnsiTheme="minorHAnsi" w:cs="Arial"/>
          <w:sz w:val="22"/>
          <w:szCs w:val="22"/>
          <w:shd w:val="clear" w:color="auto" w:fill="FFFFFF"/>
        </w:rPr>
        <w:t>_1099type__c</w:t>
      </w:r>
    </w:p>
    <w:p w14:paraId="1EBE0E04" w14:textId="044680D5" w:rsidR="001B1613" w:rsidRPr="001B1613" w:rsidRDefault="00752789" w:rsidP="001B1613">
      <w:pPr>
        <w:ind w:left="720" w:firstLine="720"/>
        <w:rPr>
          <w:rFonts w:eastAsia="Times New Roman" w:cs="Arial"/>
          <w:lang w:eastAsia="en-IN"/>
        </w:rPr>
      </w:pPr>
      <w:r w:rsidRPr="001B1613">
        <w:rPr>
          <w:rFonts w:cs="Arial"/>
          <w:color w:val="1D1C1D"/>
          <w:shd w:val="clear" w:color="auto" w:fill="FFFFFF"/>
        </w:rPr>
        <w:t>Fish purchased for Resale</w:t>
      </w:r>
      <w:r w:rsidRPr="001B1613">
        <w:rPr>
          <w:rFonts w:cs="Arial"/>
          <w:shd w:val="clear" w:color="auto" w:fill="E3F3FF"/>
        </w:rPr>
        <w:t xml:space="preserve"> </w:t>
      </w:r>
      <w:r w:rsidR="001B1613" w:rsidRPr="001B1613">
        <w:rPr>
          <w:rFonts w:cs="Arial"/>
          <w:shd w:val="clear" w:color="auto" w:fill="E3F3FF"/>
        </w:rPr>
        <w:t>‘</w:t>
      </w:r>
      <w:r w:rsidR="001B1613" w:rsidRPr="001B1613">
        <w:rPr>
          <w:rFonts w:cs="Arial"/>
          <w:color w:val="1D1C1D"/>
          <w:shd w:val="clear" w:color="auto" w:fill="FFFFFF"/>
        </w:rPr>
        <w:t>Fish purchased for Resale</w:t>
      </w:r>
    </w:p>
    <w:p w14:paraId="50C494A3" w14:textId="4B8556E7" w:rsidR="001B1613" w:rsidRPr="001B1613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</w:p>
    <w:p w14:paraId="546C43E3" w14:textId="5302C27F" w:rsidR="001B1613" w:rsidRPr="001B1613" w:rsidRDefault="001B1613" w:rsidP="001B1613">
      <w:pPr>
        <w:pStyle w:val="NormalWeb"/>
        <w:shd w:val="clear" w:color="auto" w:fill="FFFFFF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="00FB42F1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‘</w:t>
      </w:r>
      <w:proofErr w:type="spellStart"/>
      <w:proofErr w:type="gramStart"/>
      <w:r w:rsidRPr="001B1613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povclass</w:t>
      </w:r>
      <w:proofErr w:type="spellEnd"/>
      <w:proofErr w:type="gramEnd"/>
      <w:r w:rsidRPr="001B1613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__c - new picklist value</w:t>
      </w:r>
    </w:p>
    <w:p w14:paraId="03F01A81" w14:textId="278379CF" w:rsidR="001B1613" w:rsidRPr="001B1613" w:rsidRDefault="001B1613" w:rsidP="001B1613">
      <w:pPr>
        <w:pStyle w:val="NormalWeb"/>
        <w:shd w:val="clear" w:color="auto" w:fill="FFFFFF"/>
        <w:ind w:firstLine="720"/>
        <w:rPr>
          <w:rFonts w:asciiTheme="minorHAnsi" w:hAnsiTheme="minorHAnsi" w:cs="Segoe UI"/>
          <w:spacing w:val="-1"/>
          <w:sz w:val="22"/>
          <w:szCs w:val="22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proofErr w:type="gramStart"/>
      <w:r w:rsidRPr="001B1613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povclass</w:t>
      </w:r>
      <w:proofErr w:type="gramEnd"/>
      <w:r w:rsidRPr="001B1613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_1099type__c</w:t>
      </w:r>
    </w:p>
    <w:p w14:paraId="5563A678" w14:textId="4CB3D222" w:rsidR="001B1613" w:rsidRPr="001B1613" w:rsidRDefault="001B1613" w:rsidP="001B1613">
      <w:pPr>
        <w:shd w:val="clear" w:color="auto" w:fill="FFFFFF"/>
        <w:ind w:right="-120" w:firstLine="720"/>
        <w:rPr>
          <w:rFonts w:cs="Arial"/>
          <w:color w:val="1D1C1D"/>
          <w:shd w:val="clear" w:color="auto" w:fill="FFFFFF"/>
        </w:rPr>
      </w:pPr>
      <w:r w:rsidRPr="001B1613">
        <w:rPr>
          <w:rFonts w:cs="Arial"/>
          <w:color w:val="1D1C1D"/>
          <w:shd w:val="clear" w:color="auto" w:fill="FFFFFF"/>
        </w:rPr>
        <w:t> </w:t>
      </w:r>
      <w:r>
        <w:rPr>
          <w:rFonts w:cs="Arial"/>
          <w:color w:val="1D1C1D"/>
          <w:shd w:val="clear" w:color="auto" w:fill="FFFFFF"/>
        </w:rPr>
        <w:tab/>
      </w:r>
      <w:r w:rsidRPr="001B1613">
        <w:rPr>
          <w:rFonts w:cs="Arial"/>
          <w:color w:val="1D1C1D"/>
          <w:shd w:val="clear" w:color="auto" w:fill="FFFFFF"/>
        </w:rPr>
        <w:t>' Fish purchased for Resale</w:t>
      </w:r>
    </w:p>
    <w:p w14:paraId="0565DA17" w14:textId="577A6AFB" w:rsidR="001B1613" w:rsidRPr="000E4436" w:rsidRDefault="001B1613" w:rsidP="000E4436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098C94FE" w14:textId="3DF79F2B" w:rsidR="000E4436" w:rsidRPr="005A3B98" w:rsidRDefault="000E4436" w:rsidP="00A10E19">
      <w:pPr>
        <w:rPr>
          <w:rFonts w:cs="Times New Roman"/>
          <w:color w:val="212121"/>
        </w:rPr>
      </w:pPr>
    </w:p>
    <w:sectPr w:rsidR="000E4436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6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32"/>
  </w:num>
  <w:num w:numId="13">
    <w:abstractNumId w:val="21"/>
  </w:num>
  <w:num w:numId="14">
    <w:abstractNumId w:val="4"/>
  </w:num>
  <w:num w:numId="15">
    <w:abstractNumId w:val="39"/>
  </w:num>
  <w:num w:numId="16">
    <w:abstractNumId w:val="22"/>
  </w:num>
  <w:num w:numId="17">
    <w:abstractNumId w:val="0"/>
  </w:num>
  <w:num w:numId="18">
    <w:abstractNumId w:val="5"/>
  </w:num>
  <w:num w:numId="19">
    <w:abstractNumId w:val="2"/>
  </w:num>
  <w:num w:numId="20">
    <w:abstractNumId w:val="25"/>
  </w:num>
  <w:num w:numId="21">
    <w:abstractNumId w:val="12"/>
  </w:num>
  <w:num w:numId="22">
    <w:abstractNumId w:val="26"/>
  </w:num>
  <w:num w:numId="23">
    <w:abstractNumId w:val="40"/>
  </w:num>
  <w:num w:numId="24">
    <w:abstractNumId w:val="35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24"/>
  </w:num>
  <w:num w:numId="31">
    <w:abstractNumId w:val="31"/>
  </w:num>
  <w:num w:numId="32">
    <w:abstractNumId w:val="17"/>
  </w:num>
  <w:num w:numId="33">
    <w:abstractNumId w:val="37"/>
  </w:num>
  <w:num w:numId="34">
    <w:abstractNumId w:val="23"/>
  </w:num>
  <w:num w:numId="35">
    <w:abstractNumId w:val="30"/>
  </w:num>
  <w:num w:numId="36">
    <w:abstractNumId w:val="3"/>
  </w:num>
  <w:num w:numId="37">
    <w:abstractNumId w:val="34"/>
  </w:num>
  <w:num w:numId="38">
    <w:abstractNumId w:val="38"/>
  </w:num>
  <w:num w:numId="39">
    <w:abstractNumId w:val="11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60CB3"/>
    <w:rsid w:val="00081716"/>
    <w:rsid w:val="0008423D"/>
    <w:rsid w:val="00086AC1"/>
    <w:rsid w:val="000E4436"/>
    <w:rsid w:val="00114DDA"/>
    <w:rsid w:val="00122305"/>
    <w:rsid w:val="00127FD7"/>
    <w:rsid w:val="00190FBA"/>
    <w:rsid w:val="001A3BCB"/>
    <w:rsid w:val="001B1613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573D5"/>
    <w:rsid w:val="0037628E"/>
    <w:rsid w:val="00380078"/>
    <w:rsid w:val="003922D5"/>
    <w:rsid w:val="003B00BB"/>
    <w:rsid w:val="003F2CC8"/>
    <w:rsid w:val="00415FD2"/>
    <w:rsid w:val="00440C0D"/>
    <w:rsid w:val="00443F74"/>
    <w:rsid w:val="0046371B"/>
    <w:rsid w:val="00483E83"/>
    <w:rsid w:val="00486D5B"/>
    <w:rsid w:val="004F3DD0"/>
    <w:rsid w:val="005058F4"/>
    <w:rsid w:val="005209D1"/>
    <w:rsid w:val="005234A4"/>
    <w:rsid w:val="00526A6C"/>
    <w:rsid w:val="00527BC6"/>
    <w:rsid w:val="00556F73"/>
    <w:rsid w:val="0057108B"/>
    <w:rsid w:val="005810E1"/>
    <w:rsid w:val="005844B3"/>
    <w:rsid w:val="0058498A"/>
    <w:rsid w:val="00586EA5"/>
    <w:rsid w:val="005879FC"/>
    <w:rsid w:val="00587F0B"/>
    <w:rsid w:val="005A192D"/>
    <w:rsid w:val="005A3B98"/>
    <w:rsid w:val="005D2EE7"/>
    <w:rsid w:val="005D4915"/>
    <w:rsid w:val="005D5218"/>
    <w:rsid w:val="005E5799"/>
    <w:rsid w:val="005E596C"/>
    <w:rsid w:val="005F070E"/>
    <w:rsid w:val="00612974"/>
    <w:rsid w:val="0062709C"/>
    <w:rsid w:val="00630BA8"/>
    <w:rsid w:val="006319C6"/>
    <w:rsid w:val="00636853"/>
    <w:rsid w:val="0064051F"/>
    <w:rsid w:val="00653154"/>
    <w:rsid w:val="00681C27"/>
    <w:rsid w:val="006B127B"/>
    <w:rsid w:val="006D029F"/>
    <w:rsid w:val="006D0857"/>
    <w:rsid w:val="006D4BFE"/>
    <w:rsid w:val="006E00B1"/>
    <w:rsid w:val="006E0192"/>
    <w:rsid w:val="006E1AED"/>
    <w:rsid w:val="00700EB3"/>
    <w:rsid w:val="00752789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91B95"/>
    <w:rsid w:val="008B2725"/>
    <w:rsid w:val="008B437C"/>
    <w:rsid w:val="008C3555"/>
    <w:rsid w:val="008D08EB"/>
    <w:rsid w:val="008D4EF2"/>
    <w:rsid w:val="008E0472"/>
    <w:rsid w:val="009375E8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802E3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2446"/>
    <w:rsid w:val="00B63E93"/>
    <w:rsid w:val="00B73C5A"/>
    <w:rsid w:val="00B84ABE"/>
    <w:rsid w:val="00B94BB7"/>
    <w:rsid w:val="00BA5979"/>
    <w:rsid w:val="00BB0447"/>
    <w:rsid w:val="00BC4A35"/>
    <w:rsid w:val="00BD17B8"/>
    <w:rsid w:val="00C13B81"/>
    <w:rsid w:val="00C471B2"/>
    <w:rsid w:val="00C6342A"/>
    <w:rsid w:val="00C71CC8"/>
    <w:rsid w:val="00C9482E"/>
    <w:rsid w:val="00CC4FEB"/>
    <w:rsid w:val="00D15CBF"/>
    <w:rsid w:val="00D2235E"/>
    <w:rsid w:val="00D25570"/>
    <w:rsid w:val="00D3560D"/>
    <w:rsid w:val="00D36DD0"/>
    <w:rsid w:val="00D46518"/>
    <w:rsid w:val="00D62EB4"/>
    <w:rsid w:val="00DA4674"/>
    <w:rsid w:val="00DD19DC"/>
    <w:rsid w:val="00DD1BEC"/>
    <w:rsid w:val="00E24DAC"/>
    <w:rsid w:val="00E506CF"/>
    <w:rsid w:val="00E72F1E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484E"/>
    <w:rsid w:val="00F470D7"/>
    <w:rsid w:val="00F739EA"/>
    <w:rsid w:val="00FA1277"/>
    <w:rsid w:val="00FA3CB7"/>
    <w:rsid w:val="00FB4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07" Type="http://schemas.openxmlformats.org/officeDocument/2006/relationships/hyperlink" Target="https://test.salesforce.com/packaging/installPackage.apexp?p0=04t1P000000kaYI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87" Type="http://schemas.openxmlformats.org/officeDocument/2006/relationships/hyperlink" Target="https://login.salesforce.com/packaging/installPackage.apexp?p0=04t1P000000kaNF" TargetMode="External"/><Relationship Id="rId102" Type="http://schemas.openxmlformats.org/officeDocument/2006/relationships/hyperlink" Target="https://login.salesforce.com/packaging/installPackage.apexp?p0=04t1P000000kaWb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105" Type="http://schemas.openxmlformats.org/officeDocument/2006/relationships/hyperlink" Target="https://login.salesforce.com/packaging/installPackage.apexp?p0=04t1P000000kaX0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hyperlink" Target="https://test.salesforce.com/packaging/installPackage.apexp?p0=04t1P000000kaWb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6" Type="http://schemas.openxmlformats.org/officeDocument/2006/relationships/hyperlink" Target="https://login.salesforce.com/packaging/installPackage.apexp?p0=04t1P000000kaYI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Relationship Id="rId104" Type="http://schemas.openxmlformats.org/officeDocument/2006/relationships/hyperlink" Target="https://login.salesforce.com/packaging/installPackage.apexp?p0=04t1P000000kaX0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15224</TotalTime>
  <Pages>23</Pages>
  <Words>4844</Words>
  <Characters>27611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421</cp:revision>
  <dcterms:created xsi:type="dcterms:W3CDTF">2019-02-14T10:59:00Z</dcterms:created>
  <dcterms:modified xsi:type="dcterms:W3CDTF">2022-01-19T11:59:00Z</dcterms:modified>
</cp:coreProperties>
</file>