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AI TOOL RISK ASSESSMENT</w:t>
      </w:r>
    </w:p>
    <w:p>
      <w:pPr>
        <w:spacing w:after="300"/>
        <w:jc w:val="center"/>
      </w:pPr>
      <w:r>
        <w:rPr>
          <w:color w:val="7F7F7F"/>
          <w:sz w:val="22"/>
          <w:szCs w:val="22"/>
        </w:rPr>
        <w:t xml:space="preserve">AI / ML Tool &amp; Vendor Review Template</w:t>
      </w:r>
    </w:p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1. </w:t>
      </w:r>
      <w:r>
        <w:rPr>
          <w:b/>
          <w:bCs/>
          <w:color w:val="1F3864"/>
          <w:sz w:val="26"/>
          <w:szCs w:val="26"/>
        </w:rPr>
        <w:t xml:space="preserve">General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Tool Name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e.g., Acme Copilot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Vendor / Provider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e.g., Acme AI Solutions Inc.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Brief description of the tool and what it does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Use Case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Summary of intended use case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 of Assessment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Assessment Completed By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Name, Title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Assessment Status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Draft / In Review / Approved / Rejected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 xml:space="preserve">Use Case Description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What problem does this tool solve / what task does it perform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Business Impact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Who/what is affected; criticality to operations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Data Types Involved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e.g., PII, financial, health, confidential, public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End Users / Stakeholders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Who will use or be affected by this tool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Risk Tier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Low / Medium / High / Critical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 xml:space="preserve">Architecture Review</w:t>
      </w:r>
    </w:p>
    <w:p>
      <w:pPr>
        <w:spacing w:after="120"/>
      </w:pPr>
      <w:r>
        <w:rPr>
          <w:i/>
          <w:iCs/>
          <w:color w:val="7F7F7F"/>
          <w:sz w:val="19"/>
          <w:szCs w:val="19"/>
        </w:rPr>
        <w:t xml:space="preserve">Document how the tool is deployed, how it connects to other systems, and the threats it introduces.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On-Prem / Cloud (SaaS) / Hybrid / Private Cloud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Cloud / Hosting Provider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e.g., AWS, Azure, GCP, vendor-hosted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Underlying Model / Foundation Provider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e.g., proprietary, OpenAI, Anthropic, open-source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Integration Points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APIs, SSO, data feeds, connected systems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Data Flow Summary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Where data originates, travels, and is stored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Threat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threat actors and attack surfaces have been identified (e.g., prompt injection, data exfiltration, model inversion, supply chain).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Trust boundaries between the tool, integrated systems, and third parties are mapped.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Abuse cases (jailbreaking, adversarial inputs, data poisoning) have been considered.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Failure modes and their business impact have been assessed.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4. </w:t>
      </w:r>
      <w:r>
        <w:rPr>
          <w:b/>
          <w:bCs/>
          <w:color w:val="1F3864"/>
          <w:sz w:val="26"/>
          <w:szCs w:val="26"/>
        </w:rPr>
        <w:t xml:space="preserve">Security Controls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Data Security Controls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is encrypted in transit (TLS 1.2+) and at rest (AES-256 or equivalent).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Key management follows industry standard practices (e.g., KMS/HSM).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confirms whether customer data is used to train or fine-tune shared models.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retention and secure deletion policies are documented and acceptable.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Tenant Isolation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Multi-tenant architecture enforces logical/physical separation between customers.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Tenant-specific data cannot leak into another tenant's context or model outputs.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Dedicated / single-tenant deployment option is available if required.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Access Control Model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Role-based or attribute-based access control (RBAC/ABAC) is enforced.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Multi-factor authentication (MFA) and SSO/SAML integration are supported.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Principle of least privilege is applied to internal vendor staff access.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logs and audit trails are available for review.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Security &amp; Third-Party Risk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holds relevant certifications (e.g., SOC 2 Type II, ISO 27001, ISO 27701).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has a documented vulnerability disclosure and patch management process.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Recent third-party penetration test results are available for review.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Subprocessors / fourth parties are disclosed and contractually bound to equivalent security terms.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has a documented business continuity / disaster recovery plan.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5. </w:t>
      </w:r>
      <w:r>
        <w:rPr>
          <w:b/>
          <w:bCs/>
          <w:color w:val="1F3864"/>
          <w:sz w:val="26"/>
          <w:szCs w:val="26"/>
        </w:rPr>
        <w:t xml:space="preserve">Governance &amp; Compliance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Solution's risk classification under applicable AI regulation (e.g., EU AI Act) is identified.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complies with relevant data protection laws (e.g., GDPR, CCPA, HIPAA).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Contract includes liability allocation for AI errors, bias, or harmful outputs.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Intellectual property ownership of inputs/outputs is clearly defined.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provides audit rights or compliance evidence on request.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Internal AI governance / model risk committee has reviewed and signed off.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6. </w:t>
      </w:r>
      <w:r>
        <w:rPr>
          <w:b/>
          <w:bCs/>
          <w:color w:val="1F3864"/>
          <w:sz w:val="26"/>
          <w:szCs w:val="26"/>
        </w:rPr>
        <w:t xml:space="preserve">Monitoring &amp; Incident Response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Model performance is monitored for drift, degradation, or anomalous behavior.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monitoring and logging cover access, usage, and API activity.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has a documented incident response plan with defined notification timelines.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Breach / incident notification terms are defined in the contract (e.g., within 72 hours).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SLA defines uptime, support response times, and escalation paths.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7. </w:t>
      </w:r>
      <w:r>
        <w:rPr>
          <w:b/>
          <w:bCs/>
          <w:color w:val="1F3864"/>
          <w:sz w:val="26"/>
          <w:szCs w:val="26"/>
        </w:rPr>
        <w:t xml:space="preserve">Ethical &amp; Responsible Use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7"/>
        <w:gridCol w:w="1613"/>
        <w:gridCol w:w="3830"/>
      </w:tblGrid>
      <w:tr>
        <w:trPr>
          <w:tblHeader/>
        </w:trPr>
        <w:tc>
          <w:tcPr>
            <w:tcW w:type="dxa" w:w="463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613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83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Evidence / Notes</w:t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has conducted bias/fairness testing across relevant demographic groups.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Outputs can be explained or traced back to contributing factors (explainability).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Human review/override is available for high-stakes or consequential decisions.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End users are informed when they are interacting with or affected by AI-generated content.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Vendor publishes a responsible-AI or ethical-use policy.</w:t>
            </w:r>
          </w:p>
        </w:tc>
        <w:tc>
          <w:tcPr>
            <w:tcW w:type="dxa" w:w="161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3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Guardrails exist against generating harmful, discriminatory, or unlawful content.</w:t>
            </w:r>
          </w:p>
        </w:tc>
        <w:tc>
          <w:tcPr>
            <w:tcW w:type="dxa" w:w="1613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/>
                <w:iCs/>
                <w:color w:val="7F7F7F"/>
                <w:sz w:val="19"/>
                <w:szCs w:val="19"/>
              </w:rPr>
              <w:t xml:space="preserve">Yes / No / N/A</w:t>
            </w:r>
          </w:p>
        </w:tc>
        <w:tc>
          <w:tcPr>
            <w:tcW w:type="dxa" w:w="383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8. </w:t>
      </w:r>
      <w:r>
        <w:rPr>
          <w:b/>
          <w:bCs/>
          <w:color w:val="1F3864"/>
          <w:sz w:val="26"/>
          <w:szCs w:val="26"/>
        </w:rPr>
        <w:t xml:space="preserve">Risk Scoring Summary</w:t>
      </w:r>
    </w:p>
    <w:p>
      <w:pPr>
        <w:spacing w:after="120"/>
      </w:pPr>
      <w:r>
        <w:rPr>
          <w:i/>
          <w:iCs/>
          <w:color w:val="7F7F7F"/>
          <w:sz w:val="19"/>
          <w:szCs w:val="19"/>
        </w:rPr>
        <w:t xml:space="preserve">Score each category 1 (low risk) to 5 (high risk). Weights should total 100%.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210"/>
        <w:gridCol w:w="1210"/>
        <w:gridCol w:w="1411"/>
        <w:gridCol w:w="2822"/>
      </w:tblGrid>
      <w:tr>
        <w:trPr>
          <w:tblHeader/>
        </w:trPr>
        <w:tc>
          <w:tcPr>
            <w:tcW w:type="dxa" w:w="3427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Category</w:t>
            </w:r>
          </w:p>
        </w:tc>
        <w:tc>
          <w:tcPr>
            <w:tcW w:type="dxa" w:w="12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(1-5)</w:t>
            </w:r>
          </w:p>
        </w:tc>
        <w:tc>
          <w:tcPr>
            <w:tcW w:type="dxa" w:w="121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141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Weighted</w:t>
            </w:r>
          </w:p>
        </w:tc>
        <w:tc>
          <w:tcPr>
            <w:tcW w:type="dxa" w:w="2822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Comments</w:t>
            </w:r>
          </w:p>
        </w:tc>
      </w:tr>
      <w:tr>
        <w:tc>
          <w:tcPr>
            <w:tcW w:type="dxa" w:w="342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Architecture &amp; Threat Exposure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Data Security &amp; Tenant Isolation</w:t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Access Control &amp; Third-Party Risk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Governance &amp; Regulatory Compliance</w:t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Monitoring &amp; Incident Response</w:t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Ethical &amp; Responsible Use</w:t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11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427"/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Overall Weighted Risk Score</w:t>
            </w:r>
          </w:p>
        </w:tc>
        <w:tc>
          <w:tcPr>
            <w:tcW w:type="dxa" w:w="1210"/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10"/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1411"/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22"/>
            <w:shd w:fill="DCE6F1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Risk Rating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1–1.5: Low Risk — proceed with standard contract terms.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1.6–2.5: Low-Moderate Risk — proceed with minor conditions/monitoring.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2.6–3.5: Moderate Risk — mitigations required before approval.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3.6–4.5: High Risk — senior/governance committee approval required.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4.6–5.0: Critical Risk — recommend rejection or major redesign.</w:t>
      </w:r>
    </w:p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9. </w:t>
      </w:r>
      <w:r>
        <w:rPr>
          <w:b/>
          <w:bCs/>
          <w:color w:val="1F3864"/>
          <w:sz w:val="26"/>
          <w:szCs w:val="26"/>
        </w:rPr>
        <w:t xml:space="preserve">Findings &amp; Recommendations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Key Strengths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Key Risks / Gaps Identified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Style w:val="Heading2"/>
        <w:spacing w:after="100" w:before="200"/>
      </w:pPr>
      <w:r>
        <w:rPr>
          <w:b/>
          <w:bCs/>
          <w:color w:val="1F3864"/>
          <w:sz w:val="22"/>
          <w:szCs w:val="22"/>
        </w:rPr>
        <w:t xml:space="preserve">Required Mitigations / Conditions of Approval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Bdr>
          <w:bottom w:val="single" w:color="BFBFBF" w:sz="4" w:space="8"/>
        </w:pBdr>
        <w:spacing w:after="10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1F3864" w:sz="6" w:space="4"/>
        </w:pBdr>
        <w:spacing w:after="160" w:before="400"/>
      </w:pPr>
      <w:r>
        <w:rPr>
          <w:b/>
          <w:bCs/>
          <w:color w:val="1F3864"/>
          <w:sz w:val="26"/>
          <w:szCs w:val="26"/>
        </w:rPr>
        <w:t xml:space="preserve">10. </w:t>
      </w:r>
      <w:r>
        <w:rPr>
          <w:b/>
          <w:bCs/>
          <w:color w:val="1F3864"/>
          <w:sz w:val="26"/>
          <w:szCs w:val="26"/>
        </w:rPr>
        <w:t xml:space="preserve">Approval &amp; Sign-off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6854"/>
      </w:tblGrid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Final Recommendation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Approve / Approve with Conditions / Reject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Reviewed By (Security)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Name, Date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Reviewed By (Privacy/Legal)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Name, Date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Reviewed By (Business Owner)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Name, Date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Final Approver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Name, Title, Date</w:t>
            </w:r>
          </w:p>
        </w:tc>
      </w:tr>
      <w:tr>
        <w:tc>
          <w:tcPr>
            <w:tcW w:type="dxa" w:w="3226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85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color w:val="7F7F7F"/>
                <w:sz w:val="20"/>
                <w:szCs w:val="20"/>
              </w:rPr>
              <w:t xml:space="preserve">DD/MM/YYYY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color w:val="7F7F7F"/>
        <w:sz w:val="16"/>
        <w:szCs w:val="16"/>
      </w:rPr>
      <w:t xml:space="preserve">AI Tool Risk Assessment  |  </w:t>
    </w:r>
    <w:r>
      <w:rPr>
        <w:i/>
        <w:iCs/>
        <w:color w:val="7F7F7F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2026-08-19T23:16:00.742Z</dcterms:created>
  <dcterms:modified xsi:type="dcterms:W3CDTF">2026-08-19T23:16:00.755Z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