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772ABE">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772ABE">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772ABE">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772ABE">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772ABE">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772ABE">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772ABE">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772ABE">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772ABE">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772ABE">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772ABE">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772ABE">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772ABE">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772ABE">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772ABE">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772ABE">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772ABE">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772ABE">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772ABE">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772ABE">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772ABE">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772ABE">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772ABE">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Pr="002611A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8D2BD9">
      <w:pPr>
        <w:rPr>
          <w:rFonts w:ascii="Arial" w:hAnsi="Arial" w:cs="Arial"/>
          <w:sz w:val="24"/>
          <w:szCs w:val="24"/>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9E05D6">
      <w:pPr>
        <w:pStyle w:val="Ttulo2"/>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End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lastRenderedPageBreak/>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772ABE"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End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lastRenderedPageBreak/>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305708">
      <w:pPr>
        <w:pStyle w:val="Ttulo4"/>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lastRenderedPageBreak/>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w:t>
      </w:r>
      <w:r w:rsidRPr="00BD75DA">
        <w:rPr>
          <w:rFonts w:ascii="Arial" w:hAnsi="Arial" w:cs="Arial"/>
          <w:sz w:val="24"/>
          <w:szCs w:val="24"/>
        </w:rPr>
        <w:lastRenderedPageBreak/>
        <w:t>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End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End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lastRenderedPageBreak/>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End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12E43465" w14:textId="77777777" w:rsidR="00DF5BEE" w:rsidRPr="0052275F" w:rsidRDefault="00DF5BEE" w:rsidP="009E05D6">
      <w:pPr>
        <w:pStyle w:val="Ttulo2"/>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52275F">
      <w:pPr>
        <w:rPr>
          <w:rFonts w:ascii="Arial" w:hAnsi="Arial" w:cs="Arial"/>
          <w:sz w:val="24"/>
          <w:szCs w:val="24"/>
        </w:rPr>
      </w:pPr>
    </w:p>
    <w:p w14:paraId="792C426C" w14:textId="31FD33DA" w:rsidR="003E5BE1" w:rsidRDefault="003E5BE1">
      <w:pPr>
        <w:rPr>
          <w:rFonts w:ascii="Arial" w:hAnsi="Arial" w:cs="Arial"/>
        </w:rPr>
      </w:pPr>
      <w:r>
        <w:rPr>
          <w:rFonts w:ascii="Arial" w:hAnsi="Arial" w:cs="Arial"/>
        </w:rPr>
        <w:br w:type="page"/>
      </w:r>
    </w:p>
    <w:p w14:paraId="2B98F9A0" w14:textId="7803045A" w:rsidR="00D47758" w:rsidRPr="003E5BE1" w:rsidRDefault="00D47758" w:rsidP="00010804">
      <w:pPr>
        <w:pStyle w:val="Ttulo1"/>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9E05D6">
      <w:pPr>
        <w:pStyle w:val="Ttulo2"/>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4A17E6D0" w14:textId="1DF44F08" w:rsidR="004C3758" w:rsidRPr="00EC5FA2" w:rsidRDefault="00E54ABE" w:rsidP="004C3758">
      <w:pPr>
        <w:pStyle w:val="Prrafodelista"/>
        <w:numPr>
          <w:ilvl w:val="0"/>
          <w:numId w:val="9"/>
        </w:numPr>
        <w:spacing w:line="360" w:lineRule="auto"/>
        <w:jc w:val="both"/>
        <w:rPr>
          <w:rFonts w:ascii="Arial" w:hAnsi="Arial" w:cs="Arial"/>
          <w:sz w:val="24"/>
          <w:szCs w:val="24"/>
        </w:rPr>
      </w:pPr>
      <w:r>
        <w:rPr>
          <w:rFonts w:ascii="Arial" w:hAnsi="Arial" w:cs="Arial"/>
          <w:sz w:val="24"/>
          <w:szCs w:val="24"/>
        </w:rPr>
        <w:t>Identificar</w:t>
      </w:r>
      <w:r w:rsidR="004C3758" w:rsidRPr="00EC5FA2">
        <w:rPr>
          <w:rFonts w:ascii="Arial" w:hAnsi="Arial" w:cs="Arial"/>
          <w:sz w:val="24"/>
          <w:szCs w:val="24"/>
        </w:rPr>
        <w:t xml:space="preserve"> estrategias</w:t>
      </w:r>
      <w:r>
        <w:rPr>
          <w:rFonts w:ascii="Arial" w:hAnsi="Arial" w:cs="Arial"/>
          <w:sz w:val="24"/>
          <w:szCs w:val="24"/>
        </w:rPr>
        <w:t xml:space="preserve"> y métodos</w:t>
      </w:r>
      <w:r w:rsidR="004C3758" w:rsidRPr="00EC5FA2">
        <w:rPr>
          <w:rFonts w:ascii="Arial" w:hAnsi="Arial" w:cs="Arial"/>
          <w:sz w:val="24"/>
          <w:szCs w:val="24"/>
        </w:rPr>
        <w:t xml:space="preserve"> efectiv</w:t>
      </w:r>
      <w:r>
        <w:rPr>
          <w:rFonts w:ascii="Arial" w:hAnsi="Arial" w:cs="Arial"/>
          <w:sz w:val="24"/>
          <w:szCs w:val="24"/>
        </w:rPr>
        <w:t>o</w:t>
      </w:r>
      <w:r w:rsidR="004C3758" w:rsidRPr="00EC5FA2">
        <w:rPr>
          <w:rFonts w:ascii="Arial" w:hAnsi="Arial" w:cs="Arial"/>
          <w:sz w:val="24"/>
          <w:szCs w:val="24"/>
        </w:rPr>
        <w:t xml:space="preserve">s para prevenir la violencia en contextos escolares, promoviendo un ambiente seguro y saludable para todos los estudiantes. Esto implica </w:t>
      </w:r>
      <w:r>
        <w:rPr>
          <w:rFonts w:ascii="Arial" w:hAnsi="Arial" w:cs="Arial"/>
          <w:sz w:val="24"/>
          <w:szCs w:val="24"/>
        </w:rPr>
        <w:t>examinar</w:t>
      </w:r>
      <w:r w:rsidR="004C3758" w:rsidRPr="00EC5FA2">
        <w:rPr>
          <w:rFonts w:ascii="Arial" w:hAnsi="Arial" w:cs="Arial"/>
          <w:sz w:val="24"/>
          <w:szCs w:val="24"/>
        </w:rPr>
        <w:t xml:space="preserve"> las causas y manifestaciones de la violencia, </w:t>
      </w:r>
      <w:r>
        <w:rPr>
          <w:rFonts w:ascii="Arial" w:hAnsi="Arial" w:cs="Arial"/>
          <w:sz w:val="24"/>
          <w:szCs w:val="24"/>
        </w:rPr>
        <w:t>producir</w:t>
      </w:r>
      <w:r w:rsidR="004C3758" w:rsidRPr="00EC5FA2">
        <w:rPr>
          <w:rFonts w:ascii="Arial" w:hAnsi="Arial" w:cs="Arial"/>
          <w:sz w:val="24"/>
          <w:szCs w:val="24"/>
        </w:rPr>
        <w:t xml:space="preserve"> capacidades en la comunidad educativa para manejar conflictos, fomentar una cultura de respeto y colaboración, </w:t>
      </w:r>
      <w:r>
        <w:rPr>
          <w:rFonts w:ascii="Arial" w:hAnsi="Arial" w:cs="Arial"/>
          <w:sz w:val="24"/>
          <w:szCs w:val="24"/>
        </w:rPr>
        <w:t>replicar</w:t>
      </w:r>
      <w:r w:rsidR="004C3758" w:rsidRPr="00EC5FA2">
        <w:rPr>
          <w:rFonts w:ascii="Arial" w:hAnsi="Arial" w:cs="Arial"/>
          <w:sz w:val="24"/>
          <w:szCs w:val="24"/>
        </w:rPr>
        <w:t xml:space="preserve"> políticas claras para prevenir y responder a incidentes de manera efectiva.</w:t>
      </w:r>
    </w:p>
    <w:p w14:paraId="561E323E" w14:textId="77777777" w:rsidR="00754858" w:rsidRPr="00754858" w:rsidRDefault="00754858" w:rsidP="00754858"/>
    <w:p w14:paraId="15A1650E" w14:textId="51D94C6E" w:rsidR="00D47758" w:rsidRDefault="00E54ABE" w:rsidP="009E05D6">
      <w:pPr>
        <w:pStyle w:val="Ttulo2"/>
        <w:rPr>
          <w:rFonts w:ascii="Arial" w:hAnsi="Arial" w:cs="Arial"/>
          <w:b/>
          <w:bCs/>
          <w:color w:val="000000" w:themeColor="text1"/>
          <w:sz w:val="24"/>
          <w:szCs w:val="24"/>
        </w:rPr>
      </w:pPr>
      <w:r w:rsidRPr="00754858">
        <w:rPr>
          <w:rFonts w:ascii="Arial" w:hAnsi="Arial" w:cs="Arial"/>
          <w:b/>
          <w:bCs/>
          <w:color w:val="000000" w:themeColor="text1"/>
          <w:sz w:val="24"/>
          <w:szCs w:val="24"/>
        </w:rPr>
        <w:t>Específico</w:t>
      </w:r>
      <w:r>
        <w:rPr>
          <w:rFonts w:ascii="Arial" w:hAnsi="Arial" w:cs="Arial"/>
          <w:b/>
          <w:bCs/>
          <w:color w:val="000000" w:themeColor="text1"/>
          <w:sz w:val="24"/>
          <w:szCs w:val="24"/>
        </w:rPr>
        <w:t>s</w:t>
      </w:r>
    </w:p>
    <w:p w14:paraId="4C88A182" w14:textId="7C79B8ED" w:rsidR="004C3758" w:rsidRPr="0016166D" w:rsidRDefault="004C3758" w:rsidP="004C3758">
      <w:pPr>
        <w:pStyle w:val="Prrafodelista"/>
        <w:numPr>
          <w:ilvl w:val="0"/>
          <w:numId w:val="12"/>
        </w:numPr>
        <w:spacing w:line="360" w:lineRule="auto"/>
        <w:jc w:val="both"/>
        <w:rPr>
          <w:rFonts w:ascii="Arial" w:hAnsi="Arial" w:cs="Arial"/>
          <w:sz w:val="24"/>
          <w:szCs w:val="24"/>
        </w:rPr>
      </w:pPr>
      <w:r w:rsidRPr="0016166D">
        <w:rPr>
          <w:rFonts w:ascii="Arial" w:hAnsi="Arial" w:cs="Arial"/>
          <w:sz w:val="24"/>
          <w:szCs w:val="24"/>
        </w:rPr>
        <w:t xml:space="preserve">Identificar las principales causas </w:t>
      </w:r>
      <w:r w:rsidR="00CB505A">
        <w:rPr>
          <w:rFonts w:ascii="Arial" w:hAnsi="Arial" w:cs="Arial"/>
          <w:sz w:val="24"/>
          <w:szCs w:val="24"/>
        </w:rPr>
        <w:t>que llevan a los jóvenes a ser violentos con los demás compañeros</w:t>
      </w:r>
      <w:r w:rsidRPr="0016166D">
        <w:rPr>
          <w:rFonts w:ascii="Arial" w:hAnsi="Arial" w:cs="Arial"/>
          <w:sz w:val="24"/>
          <w:szCs w:val="24"/>
        </w:rPr>
        <w:t xml:space="preserve">. Recabar información mediante encuestas y entrevistas </w:t>
      </w:r>
      <w:r w:rsidR="00CB505A">
        <w:rPr>
          <w:rFonts w:ascii="Arial" w:hAnsi="Arial" w:cs="Arial"/>
          <w:sz w:val="24"/>
          <w:szCs w:val="24"/>
        </w:rPr>
        <w:t>en el instituto, para luego examinar</w:t>
      </w:r>
      <w:r w:rsidRPr="0016166D">
        <w:rPr>
          <w:rFonts w:ascii="Arial" w:hAnsi="Arial" w:cs="Arial"/>
          <w:sz w:val="24"/>
          <w:szCs w:val="24"/>
        </w:rPr>
        <w:t xml:space="preserve"> los datos</w:t>
      </w:r>
      <w:r w:rsidR="00CB505A">
        <w:rPr>
          <w:rFonts w:ascii="Arial" w:hAnsi="Arial" w:cs="Arial"/>
          <w:sz w:val="24"/>
          <w:szCs w:val="24"/>
        </w:rPr>
        <w:t xml:space="preserve"> y poder deducir de cierta manera los</w:t>
      </w:r>
      <w:r w:rsidRPr="0016166D">
        <w:rPr>
          <w:rFonts w:ascii="Arial" w:hAnsi="Arial" w:cs="Arial"/>
          <w:sz w:val="24"/>
          <w:szCs w:val="24"/>
        </w:rPr>
        <w:t xml:space="preserve"> patrones de violencia</w:t>
      </w:r>
      <w:r w:rsidR="00CB505A">
        <w:rPr>
          <w:rFonts w:ascii="Arial" w:hAnsi="Arial" w:cs="Arial"/>
          <w:sz w:val="24"/>
          <w:szCs w:val="24"/>
        </w:rPr>
        <w:t xml:space="preserve"> para relacionar las causas y efectos que conlleva la violencia en los ámbitos estudiantiles.</w:t>
      </w:r>
    </w:p>
    <w:p w14:paraId="7267D417" w14:textId="1E7E14C6" w:rsidR="00754858" w:rsidRPr="004C3758" w:rsidRDefault="00CB505A" w:rsidP="004C3758">
      <w:pPr>
        <w:pStyle w:val="Prrafodelista"/>
        <w:numPr>
          <w:ilvl w:val="0"/>
          <w:numId w:val="12"/>
        </w:numPr>
        <w:spacing w:line="360" w:lineRule="auto"/>
        <w:jc w:val="both"/>
        <w:rPr>
          <w:rFonts w:ascii="Arial" w:hAnsi="Arial" w:cs="Arial"/>
          <w:sz w:val="24"/>
          <w:szCs w:val="24"/>
        </w:rPr>
      </w:pPr>
      <w:r>
        <w:rPr>
          <w:rFonts w:ascii="Arial" w:hAnsi="Arial" w:cs="Arial"/>
          <w:sz w:val="24"/>
          <w:szCs w:val="24"/>
        </w:rPr>
        <w:t xml:space="preserve">Sugerir </w:t>
      </w:r>
      <w:r w:rsidR="004C3758" w:rsidRPr="0016166D">
        <w:rPr>
          <w:rFonts w:ascii="Arial" w:hAnsi="Arial" w:cs="Arial"/>
          <w:sz w:val="24"/>
          <w:szCs w:val="24"/>
        </w:rPr>
        <w:t>un plan de acción integral para la prevención de la violencia escolar</w:t>
      </w:r>
      <w:r>
        <w:rPr>
          <w:rFonts w:ascii="Arial" w:hAnsi="Arial" w:cs="Arial"/>
          <w:sz w:val="24"/>
          <w:szCs w:val="24"/>
        </w:rPr>
        <w:t xml:space="preserve"> que establecerán normas que podrán estimar una mejoría en el ambiente estudiantil</w:t>
      </w:r>
      <w:r w:rsidR="00772ABE">
        <w:rPr>
          <w:rFonts w:ascii="Arial" w:hAnsi="Arial" w:cs="Arial"/>
          <w:sz w:val="24"/>
          <w:szCs w:val="24"/>
        </w:rPr>
        <w:t>, para poder designar</w:t>
      </w:r>
      <w:r>
        <w:rPr>
          <w:rFonts w:ascii="Arial" w:hAnsi="Arial" w:cs="Arial"/>
          <w:sz w:val="24"/>
          <w:szCs w:val="24"/>
        </w:rPr>
        <w:t xml:space="preserve"> </w:t>
      </w:r>
      <w:r w:rsidR="004C3758" w:rsidRPr="0016166D">
        <w:rPr>
          <w:rFonts w:ascii="Arial" w:hAnsi="Arial" w:cs="Arial"/>
          <w:sz w:val="24"/>
          <w:szCs w:val="24"/>
        </w:rPr>
        <w:t>programas de concienciación y capacitación, implementar actividades y talleres que promuevan la empatía y la resolución pacífica de conflictos</w:t>
      </w:r>
      <w:r w:rsidR="00517F87">
        <w:rPr>
          <w:rFonts w:ascii="Arial" w:hAnsi="Arial" w:cs="Arial"/>
          <w:sz w:val="24"/>
          <w:szCs w:val="24"/>
        </w:rPr>
        <w:t>, además</w:t>
      </w:r>
      <w:r w:rsidR="004C3758" w:rsidRPr="0016166D">
        <w:rPr>
          <w:rFonts w:ascii="Arial" w:hAnsi="Arial" w:cs="Arial"/>
          <w:sz w:val="24"/>
          <w:szCs w:val="24"/>
        </w:rPr>
        <w:t xml:space="preserve"> </w:t>
      </w:r>
      <w:r w:rsidR="00517F87">
        <w:rPr>
          <w:rFonts w:ascii="Arial" w:hAnsi="Arial" w:cs="Arial"/>
          <w:sz w:val="24"/>
          <w:szCs w:val="24"/>
        </w:rPr>
        <w:t xml:space="preserve">de </w:t>
      </w:r>
      <w:r w:rsidR="004C3758" w:rsidRPr="0016166D">
        <w:rPr>
          <w:rFonts w:ascii="Arial" w:hAnsi="Arial" w:cs="Arial"/>
          <w:sz w:val="24"/>
          <w:szCs w:val="24"/>
        </w:rPr>
        <w:t>establecer un sistema de monitoreo y evaluación continua.</w:t>
      </w:r>
    </w:p>
    <w:p w14:paraId="33589081" w14:textId="67AC8093" w:rsidR="009E05D6" w:rsidRPr="00754858" w:rsidRDefault="009E05D6" w:rsidP="009E05D6">
      <w:pPr>
        <w:autoSpaceDE w:val="0"/>
        <w:autoSpaceDN w:val="0"/>
        <w:adjustRightInd w:val="0"/>
        <w:spacing w:after="0" w:line="240" w:lineRule="auto"/>
        <w:rPr>
          <w:rFonts w:ascii="Arial" w:hAnsi="Arial" w:cs="Arial"/>
          <w:color w:val="000000" w:themeColor="text1"/>
          <w:sz w:val="24"/>
          <w:szCs w:val="24"/>
        </w:rPr>
      </w:pPr>
    </w:p>
    <w:p w14:paraId="5FCD6DD4" w14:textId="66FB4377" w:rsidR="009E05D6" w:rsidRPr="00754858" w:rsidRDefault="009E05D6">
      <w:pPr>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3" w:name="_Toc167991277"/>
      <w:r w:rsidRPr="009E05D6">
        <w:rPr>
          <w:rFonts w:ascii="Arial" w:hAnsi="Arial" w:cs="Arial"/>
          <w:b/>
          <w:bCs/>
          <w:color w:val="000000" w:themeColor="text1"/>
          <w:sz w:val="28"/>
          <w:szCs w:val="28"/>
        </w:rPr>
        <w:lastRenderedPageBreak/>
        <w:t>Estrategias de Investigación</w:t>
      </w:r>
      <w:bookmarkEnd w:id="23"/>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4021C67" w14:textId="1008A3CA" w:rsidR="00273653" w:rsidRDefault="00273653">
      <w:pPr>
        <w:rPr>
          <w:rFonts w:ascii="Arial" w:hAnsi="Arial" w:cs="Arial"/>
          <w:sz w:val="24"/>
          <w:szCs w:val="24"/>
        </w:rPr>
      </w:pPr>
      <w:r>
        <w:rPr>
          <w:rFonts w:ascii="Arial" w:hAnsi="Arial" w:cs="Arial"/>
          <w:sz w:val="24"/>
          <w:szCs w:val="24"/>
        </w:rPr>
        <w:br w:type="page"/>
      </w:r>
    </w:p>
    <w:bookmarkStart w:id="24"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4"/>
        </w:p>
        <w:sdt>
          <w:sdtPr>
            <w:id w:val="111145805"/>
            <w:bibliography/>
          </w:sdtPr>
          <w:sdtEnd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E6D4F2C"/>
    <w:multiLevelType w:val="hybridMultilevel"/>
    <w:tmpl w:val="0A0A872C"/>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09879D3"/>
    <w:multiLevelType w:val="hybridMultilevel"/>
    <w:tmpl w:val="E3803136"/>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7"/>
  </w:num>
  <w:num w:numId="5">
    <w:abstractNumId w:val="8"/>
  </w:num>
  <w:num w:numId="6">
    <w:abstractNumId w:val="4"/>
  </w:num>
  <w:num w:numId="7">
    <w:abstractNumId w:val="2"/>
  </w:num>
  <w:num w:numId="8">
    <w:abstractNumId w:val="1"/>
  </w:num>
  <w:num w:numId="9">
    <w:abstractNumId w:val="9"/>
  </w:num>
  <w:num w:numId="10">
    <w:abstractNumId w:val="10"/>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3F34"/>
    <w:rsid w:val="00054810"/>
    <w:rsid w:val="00083A3F"/>
    <w:rsid w:val="00090A0A"/>
    <w:rsid w:val="000A2E02"/>
    <w:rsid w:val="000B49E5"/>
    <w:rsid w:val="000E132A"/>
    <w:rsid w:val="000E562D"/>
    <w:rsid w:val="0010557D"/>
    <w:rsid w:val="001070E0"/>
    <w:rsid w:val="001139C7"/>
    <w:rsid w:val="00177EC1"/>
    <w:rsid w:val="001C6326"/>
    <w:rsid w:val="001D72CE"/>
    <w:rsid w:val="00245F5E"/>
    <w:rsid w:val="00256472"/>
    <w:rsid w:val="002611AD"/>
    <w:rsid w:val="00273653"/>
    <w:rsid w:val="002E7B14"/>
    <w:rsid w:val="002F60B6"/>
    <w:rsid w:val="00305708"/>
    <w:rsid w:val="0036413B"/>
    <w:rsid w:val="00365F4D"/>
    <w:rsid w:val="00392518"/>
    <w:rsid w:val="003B3ACE"/>
    <w:rsid w:val="003C4A60"/>
    <w:rsid w:val="003E5BE1"/>
    <w:rsid w:val="00456BB6"/>
    <w:rsid w:val="004C3758"/>
    <w:rsid w:val="004E0440"/>
    <w:rsid w:val="0051518C"/>
    <w:rsid w:val="00517F87"/>
    <w:rsid w:val="0052275F"/>
    <w:rsid w:val="00544356"/>
    <w:rsid w:val="00571FCC"/>
    <w:rsid w:val="005E2803"/>
    <w:rsid w:val="005E387D"/>
    <w:rsid w:val="00635E19"/>
    <w:rsid w:val="00694269"/>
    <w:rsid w:val="006B07CA"/>
    <w:rsid w:val="006C2519"/>
    <w:rsid w:val="00754858"/>
    <w:rsid w:val="00763CA8"/>
    <w:rsid w:val="00772ABE"/>
    <w:rsid w:val="00795CA9"/>
    <w:rsid w:val="007F1B6B"/>
    <w:rsid w:val="00812650"/>
    <w:rsid w:val="0084572D"/>
    <w:rsid w:val="00886A6F"/>
    <w:rsid w:val="008B59DE"/>
    <w:rsid w:val="008D2BD9"/>
    <w:rsid w:val="00916CFC"/>
    <w:rsid w:val="00923020"/>
    <w:rsid w:val="009758F9"/>
    <w:rsid w:val="009C1FAF"/>
    <w:rsid w:val="009D4DCC"/>
    <w:rsid w:val="009D5BB5"/>
    <w:rsid w:val="009E05D6"/>
    <w:rsid w:val="009F0A87"/>
    <w:rsid w:val="00A35447"/>
    <w:rsid w:val="00A555B0"/>
    <w:rsid w:val="00A91D67"/>
    <w:rsid w:val="00A97567"/>
    <w:rsid w:val="00AF0A50"/>
    <w:rsid w:val="00B80E13"/>
    <w:rsid w:val="00C0066F"/>
    <w:rsid w:val="00C275E3"/>
    <w:rsid w:val="00C64CAF"/>
    <w:rsid w:val="00C66F02"/>
    <w:rsid w:val="00CA2829"/>
    <w:rsid w:val="00CB505A"/>
    <w:rsid w:val="00CD3769"/>
    <w:rsid w:val="00CE2B2B"/>
    <w:rsid w:val="00CF2C76"/>
    <w:rsid w:val="00D036C3"/>
    <w:rsid w:val="00D11E6C"/>
    <w:rsid w:val="00D312D9"/>
    <w:rsid w:val="00D47758"/>
    <w:rsid w:val="00D54D88"/>
    <w:rsid w:val="00D6023A"/>
    <w:rsid w:val="00D90DBD"/>
    <w:rsid w:val="00DF5BEE"/>
    <w:rsid w:val="00E352EC"/>
    <w:rsid w:val="00E54ABE"/>
    <w:rsid w:val="00E63CFA"/>
    <w:rsid w:val="00E725DB"/>
    <w:rsid w:val="00E9757D"/>
    <w:rsid w:val="00EC710B"/>
    <w:rsid w:val="00F23240"/>
    <w:rsid w:val="00F45BB5"/>
    <w:rsid w:val="00FC298E"/>
    <w:rsid w:val="00FC557B"/>
    <w:rsid w:val="00FD0220"/>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16</Pages>
  <Words>2829</Words>
  <Characters>15562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KRATOS XD</cp:lastModifiedBy>
  <cp:revision>82</cp:revision>
  <dcterms:created xsi:type="dcterms:W3CDTF">2022-05-24T01:57:00Z</dcterms:created>
  <dcterms:modified xsi:type="dcterms:W3CDTF">2024-06-04T00:01:00Z</dcterms:modified>
</cp:coreProperties>
</file>