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proofErr w:type="spellStart"/>
      <w:r w:rsidR="00A52764" w:rsidRPr="3BA1C06A">
        <w:rPr>
          <w:rFonts w:ascii="Arial" w:hAnsi="Arial" w:cs="Arial"/>
          <w:b/>
          <w:bCs/>
          <w:i/>
          <w:iCs/>
          <w:color w:val="000000" w:themeColor="text1"/>
          <w:sz w:val="24"/>
          <w:szCs w:val="24"/>
        </w:rPr>
        <w:t>Gutierrez</w:t>
      </w:r>
      <w:proofErr w:type="spellEnd"/>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277C165D"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proofErr w:type="spellStart"/>
      <w:r w:rsidRPr="00112D96">
        <w:rPr>
          <w:rFonts w:ascii="Arial" w:hAnsi="Arial" w:cs="Arial"/>
          <w:b/>
          <w:bCs/>
          <w:i/>
          <w:color w:val="000000"/>
          <w:sz w:val="24"/>
          <w:szCs w:val="24"/>
          <w:lang w:val="es-MX"/>
        </w:rPr>
        <w:t>Sanchez</w:t>
      </w:r>
      <w:proofErr w:type="spellEnd"/>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406ADF6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proofErr w:type="spellStart"/>
      <w:r w:rsidRPr="00112D96">
        <w:rPr>
          <w:rFonts w:ascii="Arial" w:hAnsi="Arial" w:cs="Arial"/>
          <w:b/>
          <w:bCs/>
          <w:i/>
          <w:color w:val="000000"/>
          <w:sz w:val="24"/>
          <w:szCs w:val="24"/>
          <w:lang w:val="es-MX"/>
        </w:rPr>
        <w:t>Benjamin</w:t>
      </w:r>
      <w:proofErr w:type="spellEnd"/>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7C10703A"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51ECEA81"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7304FD25"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029CBC45"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4AF196B8"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217566B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17BFE70"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11E1C5DE"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011E60D3"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22276744"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5C2A4CFD"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DC034FC"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229FDFCE"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7C167617"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43AD06B5" w14:textId="213774C5"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0C1A0894" w14:textId="68B57A24"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62D55CA"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2184EA0A"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02289C0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Tra21 \l 4106 </w:instrText>
          </w:r>
          <w:r w:rsidR="00726981">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(TrafficLogix, 2021)</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566DEC8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E503AD">
            <w:rPr>
              <w:rFonts w:ascii="Arial" w:hAnsi="Arial" w:cs="Arial"/>
              <w:sz w:val="24"/>
              <w:szCs w:val="24"/>
            </w:rPr>
            <w:fldChar w:fldCharType="end"/>
          </w:r>
        </w:sdtContent>
      </w:sdt>
    </w:p>
    <w:p w14:paraId="6E2155D3" w14:textId="0F545236"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37B6817F" w14:textId="2040DD35"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263B97B0" w14:textId="5F3855AC" w:rsidR="006E10FF" w:rsidRDefault="009D1BD8" w:rsidP="00BA2A3F">
      <w:pPr>
        <w:spacing w:line="360" w:lineRule="auto"/>
        <w:ind w:left="708"/>
        <w:jc w:val="both"/>
        <w:rPr>
          <w:rFonts w:ascii="Arial" w:hAnsi="Arial" w:cs="Arial"/>
          <w:sz w:val="24"/>
          <w:szCs w:val="24"/>
        </w:rPr>
      </w:pPr>
      <w:r>
        <w:rPr>
          <w:rFonts w:ascii="Arial" w:hAnsi="Arial" w:cs="Arial"/>
          <w:sz w:val="24"/>
          <w:szCs w:val="24"/>
        </w:rPr>
        <w:t>“</w:t>
      </w:r>
      <w:r w:rsidR="006E10FF"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006E10FF"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n.</w:t>
      </w:r>
      <w:r>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6F603A" w:rsidRPr="006F603A">
            <w:rPr>
              <w:rFonts w:ascii="Arial" w:hAnsi="Arial" w:cs="Arial"/>
              <w:noProof/>
              <w:sz w:val="24"/>
              <w:szCs w:val="24"/>
            </w:rPr>
            <w:t>(Roca)</w:t>
          </w:r>
          <w:r w:rsidR="001C2118">
            <w:rPr>
              <w:rFonts w:ascii="Arial" w:hAnsi="Arial" w:cs="Arial"/>
              <w:sz w:val="24"/>
              <w:szCs w:val="24"/>
            </w:rPr>
            <w:fldChar w:fldCharType="end"/>
          </w:r>
        </w:sdtContent>
      </w:sdt>
    </w:p>
    <w:p w14:paraId="3EDE6A7A" w14:textId="583A98A8"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6F603A" w:rsidRPr="006F603A">
            <w:rPr>
              <w:rFonts w:ascii="Arial" w:hAnsi="Arial" w:cs="Arial"/>
              <w:noProof/>
              <w:sz w:val="24"/>
              <w:szCs w:val="24"/>
            </w:rPr>
            <w:t>(Bonilla, 2014)</w:t>
          </w:r>
          <w:r w:rsidR="00232F08">
            <w:rPr>
              <w:rFonts w:ascii="Arial" w:hAnsi="Arial" w:cs="Arial"/>
              <w:sz w:val="24"/>
              <w:szCs w:val="24"/>
            </w:rPr>
            <w:fldChar w:fldCharType="end"/>
          </w:r>
        </w:sdtContent>
      </w:sdt>
    </w:p>
    <w:p w14:paraId="602DF5E0" w14:textId="1E7E5A69"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6F603A" w:rsidRPr="006F603A">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167F2085"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3057D396"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14DFA611"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38CF455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2396ED23"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5C388793"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3A152D63" w:rsidR="00DA31AD" w:rsidRPr="005F0313" w:rsidRDefault="00904498"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6F603A" w:rsidRPr="006F603A">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05C040B"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74326557"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418FA5B6"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10B42DC6"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48384F">
            <w:rPr>
              <w:rFonts w:ascii="Arial" w:hAnsi="Arial" w:cs="Arial"/>
              <w:color w:val="000000" w:themeColor="text1"/>
              <w:sz w:val="24"/>
              <w:szCs w:val="24"/>
            </w:rPr>
            <w:instrText xml:space="preserve"> CITATION Equ23 \l 4106 </w:instrText>
          </w:r>
          <w:r w:rsidR="0048384F">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(Equipo editorial, 2023)</w:t>
          </w:r>
          <w:r w:rsidR="0048384F">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D818788"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Jon22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(z, 2022)</w:t>
          </w:r>
          <w:r w:rsidR="00AB6797" w:rsidRPr="00397338">
            <w:rPr>
              <w:rFonts w:ascii="Arial" w:hAnsi="Arial" w:cs="Arial"/>
            </w:rPr>
            <w:fldChar w:fldCharType="end"/>
          </w:r>
        </w:sdtContent>
      </w:sdt>
    </w:p>
    <w:p w14:paraId="392169DE" w14:textId="7853C028"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proofErr w:type="gramStart"/>
      <w:r w:rsidR="004E1EC1" w:rsidRPr="004E1EC1">
        <w:rPr>
          <w:rFonts w:ascii="Arial" w:hAnsi="Arial" w:cs="Arial"/>
        </w:rPr>
        <w:t>que</w:t>
      </w:r>
      <w:proofErr w:type="gramEnd"/>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(HUENCHUMILLA, 2012)</w:t>
          </w:r>
          <w:r w:rsidR="00AB6797" w:rsidRPr="00397338">
            <w:rPr>
              <w:rFonts w:ascii="Arial" w:hAnsi="Arial" w:cs="Arial"/>
            </w:rPr>
            <w:fldChar w:fldCharType="end"/>
          </w:r>
        </w:sdtContent>
      </w:sdt>
    </w:p>
    <w:p w14:paraId="51E73387" w14:textId="01B69650"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(Fernando, 2005)</w:t>
          </w:r>
          <w:r w:rsidR="00AB6797"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9DAB29"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 xml:space="preserve">La equidad venía a poner en cuestión la tesis de la discrecionalidad judicial (estrechamente vinculada al «modelo de las reglas»), lo que para el positivismo </w:t>
      </w:r>
      <w:proofErr w:type="spellStart"/>
      <w:r w:rsidR="00775AA4" w:rsidRPr="00775AA4">
        <w:rPr>
          <w:rFonts w:ascii="Arial" w:hAnsi="Arial" w:cs="Arial"/>
          <w:sz w:val="24"/>
          <w:szCs w:val="24"/>
        </w:rPr>
        <w:t>hartiano</w:t>
      </w:r>
      <w:proofErr w:type="spellEnd"/>
      <w:r w:rsidR="00775AA4" w:rsidRPr="00775AA4">
        <w:rPr>
          <w:rFonts w:ascii="Arial" w:hAnsi="Arial" w:cs="Arial"/>
          <w:sz w:val="24"/>
          <w:szCs w:val="24"/>
        </w:rPr>
        <w:t xml:space="preserve"> o </w:t>
      </w:r>
      <w:proofErr w:type="spellStart"/>
      <w:r w:rsidR="00775AA4" w:rsidRPr="00775AA4">
        <w:rPr>
          <w:rFonts w:ascii="Arial" w:hAnsi="Arial" w:cs="Arial"/>
          <w:sz w:val="24"/>
          <w:szCs w:val="24"/>
        </w:rPr>
        <w:t>raziano</w:t>
      </w:r>
      <w:proofErr w:type="spellEnd"/>
      <w:r w:rsidR="00775AA4" w:rsidRPr="00775AA4">
        <w:rPr>
          <w:rFonts w:ascii="Arial" w:hAnsi="Arial" w:cs="Arial"/>
          <w:sz w:val="24"/>
          <w:szCs w:val="24"/>
        </w:rPr>
        <w:t xml:space="preserve">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6F603A" w:rsidRPr="006F603A">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7FDE385A"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003F2E5D"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1CA9614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6F603A" w:rsidRPr="006F603A">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19F49304"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 xml:space="preserve">"Fomentar el respeto hacia las diferencias culturales es la base para una vida humana armónica. El respeto a las diferencias pluriculturales y </w:t>
      </w:r>
      <w:proofErr w:type="spellStart"/>
      <w:r w:rsidRPr="00E95AF2">
        <w:rPr>
          <w:rFonts w:ascii="Arial" w:hAnsi="Arial" w:cs="Arial"/>
          <w:color w:val="000000" w:themeColor="text1"/>
          <w:sz w:val="24"/>
          <w:szCs w:val="24"/>
        </w:rPr>
        <w:t>multilingüísticas</w:t>
      </w:r>
      <w:proofErr w:type="spellEnd"/>
      <w:r w:rsidRPr="00E95AF2">
        <w:rPr>
          <w:rFonts w:ascii="Arial" w:hAnsi="Arial" w:cs="Arial"/>
          <w:color w:val="000000" w:themeColor="text1"/>
          <w:sz w:val="24"/>
          <w:szCs w:val="24"/>
        </w:rPr>
        <w:t xml:space="preserve">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01067645"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0531AB23"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11BCD5BF" w14:textId="77777777" w:rsidR="006F603A" w:rsidRDefault="00460038" w:rsidP="006F603A">
              <w:pPr>
                <w:pStyle w:val="Bibliografa"/>
                <w:ind w:left="720" w:hanging="720"/>
                <w:rPr>
                  <w:noProof/>
                  <w:sz w:val="24"/>
                  <w:szCs w:val="24"/>
                  <w:lang w:val="es-ES"/>
                </w:rPr>
              </w:pPr>
              <w:r>
                <w:fldChar w:fldCharType="begin"/>
              </w:r>
              <w:r>
                <w:instrText>BIBLIOGRAPHY</w:instrText>
              </w:r>
              <w:r>
                <w:fldChar w:fldCharType="separate"/>
              </w:r>
              <w:r w:rsidR="006F603A">
                <w:rPr>
                  <w:noProof/>
                  <w:lang w:val="es-ES"/>
                </w:rPr>
                <w:t xml:space="preserve">Anzil. (2010). </w:t>
              </w:r>
              <w:r w:rsidR="006F603A">
                <w:rPr>
                  <w:i/>
                  <w:iCs/>
                  <w:noProof/>
                  <w:lang w:val="es-ES"/>
                </w:rPr>
                <w:t>Equidades: laborales, étnica, social</w:t>
              </w:r>
              <w:r w:rsidR="006F603A">
                <w:rPr>
                  <w:noProof/>
                  <w:lang w:val="es-ES"/>
                </w:rPr>
                <w:t>. Obtenido de https://sites.google.com/view/rafael-eduardo-magarin-/equidad-de-g%C3%A9nero-de-etnia-y-social</w:t>
              </w:r>
            </w:p>
            <w:p w14:paraId="1460C194" w14:textId="77777777" w:rsidR="006F603A" w:rsidRDefault="006F603A" w:rsidP="006F603A">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5EEEFF4A" w14:textId="77777777" w:rsidR="006F603A" w:rsidRDefault="006F603A" w:rsidP="006F603A">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1C4A063" w14:textId="77777777" w:rsidR="006F603A" w:rsidRDefault="006F603A" w:rsidP="006F603A">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3F49BC06" w14:textId="77777777" w:rsidR="006F603A" w:rsidRDefault="006F603A" w:rsidP="006F603A">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0ABF05A7" w14:textId="77777777" w:rsidR="006F603A" w:rsidRDefault="006F603A" w:rsidP="006F603A">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5D48987B" w14:textId="77777777" w:rsidR="006F603A" w:rsidRDefault="006F603A" w:rsidP="006F603A">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50E8518" w14:textId="77777777" w:rsidR="006F603A" w:rsidRDefault="006F603A" w:rsidP="006F603A">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914BE76" w14:textId="77777777" w:rsidR="006F603A" w:rsidRDefault="006F603A" w:rsidP="006F603A">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BDB9F6B" w14:textId="77777777" w:rsidR="006F603A" w:rsidRDefault="006F603A" w:rsidP="006F603A">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37F8A97" w14:textId="77777777" w:rsidR="006F603A" w:rsidRDefault="006F603A" w:rsidP="006F603A">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4EF4779B" w14:textId="77777777" w:rsidR="006F603A" w:rsidRDefault="006F603A" w:rsidP="006F603A">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139D4A5B" w14:textId="77777777" w:rsidR="006F603A" w:rsidRDefault="006F603A" w:rsidP="006F603A">
              <w:pPr>
                <w:pStyle w:val="Bibliografa"/>
                <w:ind w:left="720" w:hanging="720"/>
                <w:rPr>
                  <w:noProof/>
                  <w:lang w:val="es-ES"/>
                </w:rPr>
              </w:pPr>
              <w:r>
                <w:rPr>
                  <w:noProof/>
                  <w:lang w:val="es-ES"/>
                </w:rPr>
                <w:t>Guatemala, C. d. (s.f.). https://www.congreso.gob.gt/.</w:t>
              </w:r>
            </w:p>
            <w:p w14:paraId="143A3EC2" w14:textId="77777777" w:rsidR="006F603A" w:rsidRDefault="006F603A" w:rsidP="006F603A">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198646B6" w14:textId="77777777" w:rsidR="006F603A" w:rsidRDefault="006F603A" w:rsidP="006F603A">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4F536A5D" w14:textId="77777777" w:rsidR="006F603A" w:rsidRDefault="006F603A" w:rsidP="006F603A">
              <w:pPr>
                <w:pStyle w:val="Bibliografa"/>
                <w:ind w:left="720" w:hanging="720"/>
                <w:rPr>
                  <w:noProof/>
                  <w:lang w:val="es-ES"/>
                </w:rPr>
              </w:pPr>
              <w:r>
                <w:rPr>
                  <w:noProof/>
                  <w:lang w:val="es-ES"/>
                </w:rPr>
                <w:lastRenderedPageBreak/>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E245F1B" w14:textId="77777777" w:rsidR="006F603A" w:rsidRDefault="006F603A" w:rsidP="006F603A">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6461692C" w14:textId="77777777" w:rsidR="006F603A" w:rsidRDefault="006F603A" w:rsidP="006F603A">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080C9913" w14:textId="77777777" w:rsidR="006F603A" w:rsidRDefault="006F603A" w:rsidP="006F603A">
              <w:pPr>
                <w:pStyle w:val="Bibliografa"/>
                <w:ind w:left="720" w:hanging="720"/>
                <w:rPr>
                  <w:noProof/>
                  <w:lang w:val="es-ES"/>
                </w:rPr>
              </w:pPr>
              <w:r>
                <w:rPr>
                  <w:noProof/>
                  <w:lang w:val="es-ES"/>
                </w:rPr>
                <w:t>Montano, J. (1 de June de 2021). Obtenido de Lifeder: https://www.lifeder.com/cultura-tributaria/</w:t>
              </w:r>
            </w:p>
            <w:p w14:paraId="66592A71" w14:textId="77777777" w:rsidR="006F603A" w:rsidRDefault="006F603A" w:rsidP="006F603A">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05BE2844" w14:textId="77777777" w:rsidR="006F603A" w:rsidRDefault="006F603A" w:rsidP="006F603A">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B1B6BCD" w14:textId="77777777" w:rsidR="006F603A" w:rsidRDefault="006F603A" w:rsidP="006F603A">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16039308" w14:textId="77777777" w:rsidR="006F603A" w:rsidRDefault="006F603A" w:rsidP="006F603A">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222C619D" w14:textId="77777777" w:rsidR="006F603A" w:rsidRDefault="006F603A" w:rsidP="006F603A">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BA9975C" w14:textId="77777777" w:rsidR="006F603A" w:rsidRDefault="006F603A" w:rsidP="006F603A">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5420574C" w14:textId="77777777" w:rsidR="006F603A" w:rsidRDefault="006F603A" w:rsidP="006F603A">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77C1E542" w14:textId="77777777" w:rsidR="006F603A" w:rsidRDefault="006F603A" w:rsidP="006F603A">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64850F55" w14:textId="77777777" w:rsidR="006F603A" w:rsidRDefault="006F603A" w:rsidP="006F603A">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FAA218B" w14:textId="77777777" w:rsidR="006F603A" w:rsidRDefault="006F603A" w:rsidP="006F603A">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1CD5C064" w14:textId="77777777" w:rsidR="006F603A" w:rsidRDefault="006F603A" w:rsidP="006F603A">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4F428F93" w14:textId="77777777" w:rsidR="006F603A" w:rsidRDefault="006F603A" w:rsidP="006F603A">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78ACCAC" w14:textId="77777777" w:rsidR="006F603A" w:rsidRDefault="006F603A" w:rsidP="006F603A">
              <w:pPr>
                <w:pStyle w:val="Bibliografa"/>
                <w:ind w:left="720" w:hanging="720"/>
                <w:rPr>
                  <w:noProof/>
                  <w:lang w:val="es-ES"/>
                </w:rPr>
              </w:pPr>
              <w:r>
                <w:rPr>
                  <w:noProof/>
                  <w:lang w:val="es-ES"/>
                </w:rPr>
                <w:lastRenderedPageBreak/>
                <w:t xml:space="preserve">TrafficLogix. (23 de Febrero de 2021). </w:t>
              </w:r>
              <w:r>
                <w:rPr>
                  <w:i/>
                  <w:iCs/>
                  <w:noProof/>
                  <w:lang w:val="es-ES"/>
                </w:rPr>
                <w:t>TRAFFICLOGIX</w:t>
              </w:r>
              <w:r>
                <w:rPr>
                  <w:noProof/>
                  <w:lang w:val="es-ES"/>
                </w:rPr>
                <w:t>. Obtenido de Educación vial, ¿para qué sirve?: https://trafficlogix.mx/para-que-sirve-la-educacion-vial/</w:t>
              </w:r>
            </w:p>
            <w:p w14:paraId="32DACD42" w14:textId="77777777" w:rsidR="006F603A" w:rsidRDefault="006F603A" w:rsidP="006F603A">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53722921" w14:textId="34C6DDE6" w:rsidR="00460038" w:rsidRPr="00AB6797" w:rsidRDefault="00460038" w:rsidP="006F603A">
              <w:pPr>
                <w:rPr>
                  <w:b/>
                  <w:bCs/>
                </w:rPr>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C29A2"/>
    <w:rsid w:val="000F0C64"/>
    <w:rsid w:val="001104E9"/>
    <w:rsid w:val="00112D96"/>
    <w:rsid w:val="001170CF"/>
    <w:rsid w:val="00117447"/>
    <w:rsid w:val="00122CB6"/>
    <w:rsid w:val="00127BE4"/>
    <w:rsid w:val="00172EC8"/>
    <w:rsid w:val="001C2118"/>
    <w:rsid w:val="00217CF4"/>
    <w:rsid w:val="00232F08"/>
    <w:rsid w:val="00287F4B"/>
    <w:rsid w:val="00290E75"/>
    <w:rsid w:val="00292ED3"/>
    <w:rsid w:val="002A5026"/>
    <w:rsid w:val="002F3A54"/>
    <w:rsid w:val="00315739"/>
    <w:rsid w:val="00373473"/>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6F603A"/>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206B"/>
    <w:rsid w:val="00B57C8F"/>
    <w:rsid w:val="00B7023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5AF2"/>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32</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33</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29</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30</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31</b:RefOrder>
  </b:Source>
</b:Sources>
</file>

<file path=customXml/itemProps1.xml><?xml version="1.0" encoding="utf-8"?>
<ds:datastoreItem xmlns:ds="http://schemas.openxmlformats.org/officeDocument/2006/customXml" ds:itemID="{7F163090-DD98-4472-B65F-3FE2221B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15</Pages>
  <Words>4090</Words>
  <Characters>22501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57</cp:revision>
  <cp:lastPrinted>2015-03-25T16:04:00Z</cp:lastPrinted>
  <dcterms:created xsi:type="dcterms:W3CDTF">2024-04-03T23:04:00Z</dcterms:created>
  <dcterms:modified xsi:type="dcterms:W3CDTF">2024-04-16T21:40:00Z</dcterms:modified>
</cp:coreProperties>
</file>