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Waldemar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Grado « Sexto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Pr>
          <w:rFonts w:ascii="Arial" w:hAnsi="Arial" w:cs="Arial"/>
          <w:b/>
          <w:bCs/>
          <w:i/>
          <w:color w:val="000000"/>
          <w:sz w:val="24"/>
          <w:szCs w:val="24"/>
        </w:rPr>
        <w:t>D</w:t>
      </w:r>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A40F84">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 xml:space="preserve">José David Soto </w:t>
      </w:r>
      <w:proofErr w:type="spellStart"/>
      <w:r w:rsidRPr="00085A8E">
        <w:rPr>
          <w:rFonts w:ascii="Arial" w:hAnsi="Arial" w:cs="Arial"/>
          <w:b/>
          <w:bCs/>
          <w:color w:val="000000" w:themeColor="text1"/>
          <w:sz w:val="28"/>
          <w:szCs w:val="28"/>
        </w:rPr>
        <w:t>Puac</w:t>
      </w:r>
      <w:proofErr w:type="spellEnd"/>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proofErr w:type="gramStart"/>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w:t>
      </w:r>
      <w:proofErr w:type="gramEnd"/>
      <w:r w:rsidRPr="004C0116">
        <w:rPr>
          <w:rStyle w:val="nfasis"/>
          <w:rFonts w:ascii="Arial" w:hAnsi="Arial" w:cs="Arial"/>
          <w:i w:val="0"/>
          <w:sz w:val="28"/>
          <w:szCs w:val="28"/>
        </w:rPr>
        <w:t xml:space="preserve"> horizonte de una década, visualizamos a Guatemala como un faro de progreso y oportunidades para todos sus habitantes. Nos imaginamos un país donde cada guatemalteco y guatemalteca tenga acceso a una educación de calidad que estimule su potencial y </w:t>
      </w:r>
      <w:proofErr w:type="gramStart"/>
      <w:r w:rsidRPr="004C0116">
        <w:rPr>
          <w:rStyle w:val="nfasis"/>
          <w:rFonts w:ascii="Arial" w:hAnsi="Arial" w:cs="Arial"/>
          <w:i w:val="0"/>
          <w:sz w:val="28"/>
          <w:szCs w:val="28"/>
        </w:rPr>
        <w:t>les</w:t>
      </w:r>
      <w:proofErr w:type="gramEnd"/>
      <w:r w:rsidRPr="004C0116">
        <w:rPr>
          <w:rStyle w:val="nfasis"/>
          <w:rFonts w:ascii="Arial" w:hAnsi="Arial" w:cs="Arial"/>
          <w:i w:val="0"/>
          <w:sz w:val="28"/>
          <w:szCs w:val="28"/>
        </w:rPr>
        <w:t xml:space="preserve">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 xml:space="preserve">Imaginamos un sector de salud robusto, donde la atención médica sea universal y de alta calidad, y donde la prevención y el tratamiento de </w:t>
      </w:r>
      <w:r w:rsidRPr="004C0116">
        <w:rPr>
          <w:rStyle w:val="nfasis"/>
          <w:rFonts w:ascii="Arial" w:hAnsi="Arial" w:cs="Arial"/>
          <w:i w:val="0"/>
          <w:sz w:val="28"/>
          <w:szCs w:val="28"/>
        </w:rPr>
        <w:lastRenderedPageBreak/>
        <w:t>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27CAE564" w14:textId="61B0BE62" w:rsidR="00C81038" w:rsidRPr="00CF58DA" w:rsidRDefault="00911AE2" w:rsidP="00911AE2">
      <w:pPr>
        <w:spacing w:after="0" w:line="360" w:lineRule="auto"/>
        <w:jc w:val="both"/>
        <w:rPr>
          <w:rFonts w:ascii="Arial" w:hAnsi="Arial" w:cs="Arial"/>
          <w:color w:val="0D0D0D"/>
          <w:sz w:val="28"/>
          <w:szCs w:val="28"/>
          <w:shd w:val="clear" w:color="auto" w:fill="FFFFFF"/>
        </w:rPr>
      </w:pPr>
      <w:r w:rsidRPr="00911AE2">
        <w:rPr>
          <w:rFonts w:ascii="Arial" w:hAnsi="Arial" w:cs="Arial"/>
          <w:b/>
          <w:bCs/>
          <w:color w:val="000000" w:themeColor="text1"/>
          <w:sz w:val="28"/>
          <w:szCs w:val="28"/>
        </w:rPr>
        <w:t xml:space="preserve">Diego </w:t>
      </w:r>
      <w:proofErr w:type="spellStart"/>
      <w:r w:rsidRPr="00911AE2">
        <w:rPr>
          <w:rFonts w:ascii="Arial" w:hAnsi="Arial" w:cs="Arial"/>
          <w:b/>
          <w:bCs/>
          <w:color w:val="000000" w:themeColor="text1"/>
          <w:sz w:val="28"/>
          <w:szCs w:val="28"/>
        </w:rPr>
        <w:t>Sebastian</w:t>
      </w:r>
      <w:proofErr w:type="spellEnd"/>
      <w:r w:rsidRPr="00911AE2">
        <w:rPr>
          <w:rFonts w:ascii="Arial" w:hAnsi="Arial" w:cs="Arial"/>
          <w:b/>
          <w:bCs/>
          <w:color w:val="000000" w:themeColor="text1"/>
          <w:sz w:val="28"/>
          <w:szCs w:val="28"/>
        </w:rPr>
        <w:t xml:space="preserve"> </w:t>
      </w:r>
      <w:proofErr w:type="spellStart"/>
      <w:r w:rsidRPr="00911AE2">
        <w:rPr>
          <w:rFonts w:ascii="Arial" w:hAnsi="Arial" w:cs="Arial"/>
          <w:b/>
          <w:bCs/>
          <w:color w:val="000000" w:themeColor="text1"/>
          <w:sz w:val="28"/>
          <w:szCs w:val="28"/>
        </w:rPr>
        <w:t>Siney</w:t>
      </w:r>
      <w:proofErr w:type="spellEnd"/>
      <w:r w:rsidRPr="00911AE2">
        <w:rPr>
          <w:rFonts w:ascii="Arial" w:hAnsi="Arial" w:cs="Arial"/>
          <w:b/>
          <w:bCs/>
          <w:color w:val="000000" w:themeColor="text1"/>
          <w:sz w:val="28"/>
          <w:szCs w:val="28"/>
        </w:rPr>
        <w:t xml:space="preserve"> </w:t>
      </w:r>
      <w:proofErr w:type="spellStart"/>
      <w:r w:rsidRPr="00911AE2">
        <w:rPr>
          <w:rFonts w:ascii="Arial" w:hAnsi="Arial" w:cs="Arial"/>
          <w:b/>
          <w:bCs/>
          <w:color w:val="000000" w:themeColor="text1"/>
          <w:sz w:val="28"/>
          <w:szCs w:val="28"/>
        </w:rPr>
        <w:t>Garcia</w:t>
      </w:r>
      <w:proofErr w:type="spellEnd"/>
      <w:r w:rsidRPr="00911AE2">
        <w:rPr>
          <w:rFonts w:ascii="Arial" w:hAnsi="Arial" w:cs="Arial"/>
          <w:b/>
          <w:bCs/>
          <w:color w:val="000000" w:themeColor="text1"/>
          <w:sz w:val="28"/>
          <w:szCs w:val="28"/>
        </w:rPr>
        <w:t>:</w:t>
      </w:r>
      <w:r>
        <w:rPr>
          <w:rFonts w:ascii="Arial" w:hAnsi="Arial" w:cs="Arial"/>
          <w:b/>
          <w:bCs/>
          <w:color w:val="000000" w:themeColor="text1"/>
          <w:sz w:val="28"/>
          <w:szCs w:val="28"/>
        </w:rPr>
        <w:t xml:space="preserve"> </w:t>
      </w:r>
      <w:r w:rsidRPr="00CF58DA">
        <w:rPr>
          <w:rFonts w:ascii="Arial" w:hAnsi="Arial" w:cs="Arial"/>
          <w:b/>
          <w:bCs/>
          <w:color w:val="000000" w:themeColor="text1"/>
          <w:sz w:val="36"/>
          <w:szCs w:val="36"/>
        </w:rPr>
        <w:t xml:space="preserve"> </w:t>
      </w:r>
      <w:r w:rsidRPr="00CF58DA">
        <w:rPr>
          <w:rFonts w:ascii="Arial" w:hAnsi="Arial" w:cs="Arial"/>
          <w:color w:val="0D0D0D"/>
          <w:sz w:val="28"/>
          <w:szCs w:val="28"/>
          <w:shd w:val="clear" w:color="auto" w:fill="FFFFFF"/>
        </w:rPr>
        <w:t>Se espera un crecimiento económico sostenido, impulsado por sectores como el turismo, la agricultura, la tecnología y la manufactura. La inversión extranjera podría aumentar, especialmente en industrias emergentes como la energía renovable.</w:t>
      </w:r>
      <w:r w:rsidR="00C81038" w:rsidRPr="00CF58DA">
        <w:rPr>
          <w:rFonts w:ascii="Arial" w:hAnsi="Arial" w:cs="Arial"/>
          <w:color w:val="0D0D0D"/>
          <w:sz w:val="28"/>
          <w:szCs w:val="28"/>
          <w:shd w:val="clear" w:color="auto" w:fill="FFFFFF"/>
        </w:rPr>
        <w:t xml:space="preserve"> </w:t>
      </w:r>
      <w:r w:rsidRPr="00CF58DA">
        <w:rPr>
          <w:rFonts w:ascii="Arial" w:hAnsi="Arial" w:cs="Arial"/>
          <w:color w:val="0D0D0D"/>
          <w:sz w:val="28"/>
          <w:szCs w:val="28"/>
          <w:shd w:val="clear" w:color="auto" w:fill="FFFFFF"/>
        </w:rPr>
        <w:t>Es probable que se vean mejoras significativas en la infraestructura, incluyendo carreteras, transporte público, telecomunicaciones y servicios básicos como agua y electricidad en áreas rurales.</w:t>
      </w:r>
      <w:r w:rsidR="00C81038" w:rsidRPr="00CF58DA">
        <w:rPr>
          <w:rFonts w:ascii="Arial" w:hAnsi="Arial" w:cs="Arial"/>
          <w:color w:val="0D0D0D"/>
          <w:sz w:val="28"/>
          <w:szCs w:val="28"/>
          <w:shd w:val="clear" w:color="auto" w:fill="FFFFFF"/>
        </w:rPr>
        <w:t xml:space="preserve"> Se espera una mayor inversión en educación, con enfoque en la educación técnica y vocacional, así como en programas de alfabetización y acceso a la educación superior.</w:t>
      </w:r>
    </w:p>
    <w:p w14:paraId="7C99928E" w14:textId="5E6C97AC" w:rsidR="00C81038" w:rsidRPr="00CF58DA" w:rsidRDefault="00C81038"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Guatemala podría experimentar avances significativos en tecnología, como la expansión de la conectividad a Internet, el desarrollo de startups tecnológicas y la implementación de soluciones digitales en diversos sectores. Existe la posibilidad de un mayor enfoque en la conservación del medio ambiente y la sostenibilidad, con iniciativas para proteger los recursos naturales, reducir la contaminación y promover prácticas agrícolas y empresariales sostenibles.</w:t>
      </w:r>
    </w:p>
    <w:p w14:paraId="3C865873" w14:textId="6174003A" w:rsidR="00CF58DA" w:rsidRPr="00CF58DA" w:rsidRDefault="00CF58DA"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Puede haber cambios en la sociedad guatemalteca, como una mayor conciencia sobre la diversidad cultural, el fortalecimiento de la democracia y la participación ciudadana, así como avances en la igualdad de género y la inclusión social.</w:t>
      </w:r>
    </w:p>
    <w:p w14:paraId="360DEDEE" w14:textId="77777777" w:rsidR="004C0116" w:rsidRDefault="004C0116">
      <w:pPr>
        <w:spacing w:after="0" w:line="240" w:lineRule="auto"/>
        <w:rPr>
          <w:rFonts w:ascii="Arial" w:hAnsi="Arial" w:cs="Arial"/>
          <w:color w:val="000000" w:themeColor="text1"/>
          <w:sz w:val="24"/>
          <w:szCs w:val="24"/>
        </w:rPr>
      </w:pPr>
    </w:p>
    <w:p w14:paraId="4F6D9D99" w14:textId="77777777" w:rsidR="004C0116" w:rsidRDefault="004C0116">
      <w:pPr>
        <w:spacing w:after="0" w:line="240" w:lineRule="auto"/>
        <w:rPr>
          <w:rFonts w:ascii="Arial" w:hAnsi="Arial" w:cs="Arial"/>
          <w:color w:val="000000" w:themeColor="text1"/>
          <w:sz w:val="24"/>
          <w:szCs w:val="24"/>
        </w:rPr>
      </w:pPr>
    </w:p>
    <w:p w14:paraId="35BF130A" w14:textId="779607C1" w:rsidR="004C0116" w:rsidRDefault="004C0116">
      <w:pPr>
        <w:spacing w:after="0" w:line="240" w:lineRule="auto"/>
        <w:rPr>
          <w:rFonts w:ascii="Arial" w:hAnsi="Arial" w:cs="Arial"/>
          <w:color w:val="000000" w:themeColor="text1"/>
          <w:sz w:val="24"/>
          <w:szCs w:val="24"/>
        </w:rPr>
      </w:pPr>
    </w:p>
    <w:p w14:paraId="7EA9F561" w14:textId="77777777" w:rsidR="004C0116" w:rsidRPr="00D2679C" w:rsidRDefault="004C0116">
      <w:pPr>
        <w:spacing w:after="0" w:line="240" w:lineRule="auto"/>
        <w:rPr>
          <w:rFonts w:ascii="Arial" w:hAnsi="Arial" w:cs="Arial"/>
          <w:color w:val="000000" w:themeColor="text1"/>
          <w:sz w:val="24"/>
          <w:szCs w:val="24"/>
        </w:rPr>
      </w:pPr>
    </w:p>
    <w:p w14:paraId="587AFE7C" w14:textId="61E58F94"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t>Visión</w:t>
      </w:r>
    </w:p>
    <w:p w14:paraId="3EC21A3A"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Nosotros en por medio de este proyecto, tenemos como visión el poder mejorar nuestro país de Guatemala, comenzando por las relaciones que tenemos con los demás, ya que, a causa de estas relaciones, aprendemos a relacionarnos con las personas a nuestro alrededor. A causa de una mala relación con las personas, puede haber malentendidos, lo que causa violencia entre los mismos.</w:t>
      </w:r>
    </w:p>
    <w:p w14:paraId="3774E768"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Por eso buscamos concientizar a las personas a que puedan forjar buenas relaciones, así se va destruyendo barreras sociales, lo que resultaría en que los ambientes en cualquier lugar (como instituciones escolares o de trabajo) sean sanos. Y la educación es la que nos ayuda en este ámbito, por eso es un factor que también el país de Guatemala debe fortalecer, considerando que la forma en la que la juventud crezca es la forma en la que Guatemala será en un futuro.</w:t>
      </w:r>
    </w:p>
    <w:p w14:paraId="1ADE4D6F"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Aspiramos un ambiente en que cualquier persona de cualquier parte del mundo pueda desarrollarse en Guatemala, por lo que aumentaría la riqueza cultural de Guatemala al poder recibir personas extranjeras, poder establecer vínculos fuertes con otros países, tener amplitud tecnológica con países más desarrollados y tener conocimientos de cómo lidian con problemas como la seguridad.</w:t>
      </w:r>
    </w:p>
    <w:p w14:paraId="5D4D6E32"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En nuestra visión de país, esperamos que dentro de 10 años podamos mejorar todos esos aspectos, para que cada guatemalteco pueda resaltar a su manera y poder desarrollarse sin ninguna dificultad, dando resultados de éxito que aumentan el reconocimiento del país internacionalmente. También es importante el estado de Guatemala internamente, poder potenciar el área de salud, que es una parte fundamental del país, para con los ciudadanos, del modo en el que los ciudadanos reciban tratamiento de calidad y ayudarlos con los padecimientos de los guatemaltecos en cualquier parte del país, haciendo la salud un privilegio para todos.</w:t>
      </w:r>
    </w:p>
    <w:p w14:paraId="7E8949F4" w14:textId="77777777" w:rsidR="00A26308" w:rsidRPr="00546795" w:rsidRDefault="00A26308" w:rsidP="00A26308">
      <w:pPr>
        <w:spacing w:after="0" w:line="360" w:lineRule="auto"/>
        <w:jc w:val="both"/>
        <w:rPr>
          <w:rFonts w:ascii="Arial" w:hAnsi="Arial" w:cs="Arial"/>
          <w:color w:val="000000" w:themeColor="text1"/>
          <w:sz w:val="24"/>
          <w:szCs w:val="24"/>
        </w:rPr>
      </w:pPr>
      <w:r w:rsidRPr="001D0DE2">
        <w:rPr>
          <w:rFonts w:ascii="Arial" w:hAnsi="Arial" w:cs="Arial"/>
          <w:color w:val="000000" w:themeColor="text1"/>
          <w:sz w:val="24"/>
          <w:szCs w:val="24"/>
        </w:rPr>
        <w:t>Nos esforzamos por construir una sociedad basada en valores éticos y morales, donde la honestidad, la integridad y la solidaridad sean los pilares de nuestras acciones individuales y colectivas.</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2115C471" w14:textId="20EBA1CF" w:rsidR="001B5F05" w:rsidRDefault="001B5F05" w:rsidP="001B5F05">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w:t>
      </w:r>
      <w:r>
        <w:rPr>
          <w:rFonts w:ascii="Arial" w:hAnsi="Arial" w:cs="Arial"/>
          <w:b/>
          <w:bCs/>
          <w:color w:val="000000" w:themeColor="text1"/>
          <w:sz w:val="28"/>
          <w:szCs w:val="28"/>
        </w:rPr>
        <w:t>Por qué</w:t>
      </w:r>
      <w:r>
        <w:rPr>
          <w:rFonts w:ascii="Arial" w:hAnsi="Arial" w:cs="Arial"/>
          <w:b/>
          <w:bCs/>
          <w:color w:val="000000" w:themeColor="text1"/>
          <w:sz w:val="28"/>
          <w:szCs w:val="28"/>
        </w:rPr>
        <w:t xml:space="preserve"> es importante el proyecto de nación?</w:t>
      </w:r>
    </w:p>
    <w:p w14:paraId="5B1DED27"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Nosotros como personas y más como guatemaltecos, nos preocupamos por nuestro país; actualmente hay diversos problemas en el país, debido a que los guatemaltecos no nos preocupamos por lo que está a nuestro alrededor. Pero nosotros queremos dar a conocer las consecuencias que afectan a nuestro país, debido a esa forma de pensar o de ver lo que nos rodea, tenemos varios problemas como la violencia, la discriminación, el mal estado de las escuelas, centros de salud e infraestructura. Así podemos demostrar que debemos de cambiar para bien y mejorar juntos a esta bella nación, apuntando a un futuro en el cual los guatemaltecos podamos gozar de los bienes fundamentales para el día a día.</w:t>
      </w:r>
    </w:p>
    <w:p w14:paraId="261FE3A9"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Queremos mejorar al país porque, queremos que las generaciones futuras puedan disfrutar de un buen desarrollo, tanto tecnológico como intelectual. Por consiguiente, tenemos que identificar esos problemas y poder resolverlos; ya sea individualmente o junto a otras personas, como resultado podremos tener un desarrollo que será la base del cambio y llegar a más personas que quieran mejorar el futuro de Guatemala. No es un camino fácil, pero podremos mejorar en algo como la educación, la violencia y la salud, que son los factores más importantes para los guatemaltecos. Del mismo modo no solo queremos el bienestar nacional, sino también internacional porque los guatemaltecos tendremos esa capacidad de resaltar en todo el mundo y podremos obtener ayuda de otros países, así tendremos lazos sociales que nos ayuden al desarrollo.</w:t>
      </w:r>
    </w:p>
    <w:p w14:paraId="306D92DA"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Su importancia surge para mejorar al país en el que vivimos, poder superar factores que nos limitan como sociedad, por lo que es una forma de proponer un cambio para la sociedad, no solo guatemalteca sino para cualquier país que quiera tener un desarrollo. Nosotros que somos los que vivimos el día a día podemos dar a conocer esos factores que tenemos que mejorar y poder tomar un plan de acción para poder contrarrestar esos problemas; así podremos gozar de un buen futuro en el cual no tendremos que preocuparnos por problemas tan impactantes en la sociedad.</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Pr="001B5F05" w:rsidRDefault="0060576B" w:rsidP="004933B2">
      <w:pPr>
        <w:pStyle w:val="Ttulo"/>
        <w:jc w:val="center"/>
        <w:rPr>
          <w:rFonts w:ascii="Arial" w:hAnsi="Arial" w:cs="Arial"/>
        </w:rPr>
      </w:pPr>
      <w:r w:rsidRPr="001B5F05">
        <w:rPr>
          <w:rFonts w:ascii="Arial" w:hAnsi="Arial" w:cs="Arial"/>
        </w:rPr>
        <w:t>Prevención de la violencia en contextos escolares</w:t>
      </w:r>
    </w:p>
    <w:p w14:paraId="089C3706" w14:textId="77777777" w:rsidR="004933B2" w:rsidRPr="001B5F05" w:rsidRDefault="004933B2" w:rsidP="004933B2">
      <w:pPr>
        <w:rPr>
          <w:rFonts w:ascii="Arial" w:hAnsi="Arial" w:cs="Arial"/>
        </w:rPr>
      </w:pPr>
    </w:p>
    <w:p w14:paraId="1464FED4" w14:textId="77777777" w:rsidR="004933B2" w:rsidRPr="001B5F05" w:rsidRDefault="004933B2" w:rsidP="004933B2">
      <w:pPr>
        <w:pStyle w:val="Ttulo2"/>
        <w:rPr>
          <w:rFonts w:ascii="Arial" w:hAnsi="Arial" w:cs="Arial"/>
        </w:rPr>
      </w:pPr>
    </w:p>
    <w:p w14:paraId="123B3D49" w14:textId="62FE37F8" w:rsidR="004933B2" w:rsidRPr="001B5F05" w:rsidRDefault="004933B2" w:rsidP="004933B2">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¿Qué es la violencia escolar?</w:t>
      </w:r>
    </w:p>
    <w:p w14:paraId="0C35B7CA" w14:textId="643DA264"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p>
    <w:p w14:paraId="03D88A32" w14:textId="77777777" w:rsidR="00F10CDB" w:rsidRPr="001B5F05" w:rsidRDefault="00F10CDB" w:rsidP="00F10CDB">
      <w:pPr>
        <w:spacing w:after="0" w:line="360" w:lineRule="auto"/>
        <w:jc w:val="both"/>
        <w:rPr>
          <w:rFonts w:ascii="Arial" w:hAnsi="Arial" w:cs="Arial"/>
          <w:color w:val="000000" w:themeColor="text1"/>
          <w:sz w:val="28"/>
          <w:szCs w:val="28"/>
        </w:rPr>
      </w:pPr>
    </w:p>
    <w:p w14:paraId="0A6B12D6"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1B5F05" w:rsidRDefault="00F10CDB" w:rsidP="00F10CDB">
      <w:pPr>
        <w:spacing w:after="0" w:line="360" w:lineRule="auto"/>
        <w:jc w:val="both"/>
        <w:rPr>
          <w:rFonts w:ascii="Arial" w:hAnsi="Arial" w:cs="Arial"/>
          <w:color w:val="000000" w:themeColor="text1"/>
          <w:sz w:val="28"/>
          <w:szCs w:val="28"/>
        </w:rPr>
      </w:pPr>
    </w:p>
    <w:p w14:paraId="4A75CC0C"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1B5F05" w:rsidRDefault="00F10CDB" w:rsidP="00F10CDB">
      <w:pPr>
        <w:spacing w:after="0" w:line="360" w:lineRule="auto"/>
        <w:jc w:val="both"/>
        <w:rPr>
          <w:rFonts w:ascii="Arial" w:hAnsi="Arial" w:cs="Arial"/>
          <w:color w:val="000000" w:themeColor="text1"/>
          <w:sz w:val="28"/>
          <w:szCs w:val="28"/>
        </w:rPr>
      </w:pPr>
    </w:p>
    <w:p w14:paraId="3DB6B51D"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1B5F05" w:rsidRDefault="00F10CDB" w:rsidP="00F10CDB">
      <w:pPr>
        <w:spacing w:after="0" w:line="360" w:lineRule="auto"/>
        <w:jc w:val="both"/>
        <w:rPr>
          <w:rFonts w:ascii="Arial" w:hAnsi="Arial" w:cs="Arial"/>
          <w:color w:val="000000" w:themeColor="text1"/>
          <w:sz w:val="28"/>
          <w:szCs w:val="28"/>
        </w:rPr>
      </w:pPr>
    </w:p>
    <w:p w14:paraId="253A410D" w14:textId="2FD5ECAA" w:rsidR="00AA51C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que criminalizan, falta de vinculación de la violencia escolar con el entorno personal y social, así como la inexistencia de una configuración normativa adecuada. </w:t>
      </w:r>
      <w:sdt>
        <w:sdtPr>
          <w:rPr>
            <w:rFonts w:ascii="Arial" w:hAnsi="Arial" w:cs="Arial"/>
            <w:color w:val="000000" w:themeColor="text1"/>
            <w:sz w:val="28"/>
            <w:szCs w:val="28"/>
          </w:rPr>
          <w:id w:val="-195467075"/>
          <w:citation/>
        </w:sdtPr>
        <w:sdtEndPr/>
        <w:sdtContent>
          <w:r w:rsidRPr="001B5F05">
            <w:rPr>
              <w:rFonts w:ascii="Arial" w:hAnsi="Arial" w:cs="Arial"/>
              <w:color w:val="000000" w:themeColor="text1"/>
              <w:sz w:val="28"/>
              <w:szCs w:val="28"/>
            </w:rPr>
            <w:fldChar w:fldCharType="begin"/>
          </w:r>
          <w:r w:rsidRPr="001B5F05">
            <w:rPr>
              <w:rFonts w:ascii="Arial" w:hAnsi="Arial" w:cs="Arial"/>
              <w:color w:val="000000" w:themeColor="text1"/>
              <w:sz w:val="28"/>
              <w:szCs w:val="28"/>
            </w:rPr>
            <w:instrText xml:space="preserve"> CITATION Jus16 \l 4106 </w:instrText>
          </w:r>
          <w:r w:rsidRPr="001B5F05">
            <w:rPr>
              <w:rFonts w:ascii="Arial" w:hAnsi="Arial" w:cs="Arial"/>
              <w:color w:val="000000" w:themeColor="text1"/>
              <w:sz w:val="28"/>
              <w:szCs w:val="28"/>
            </w:rPr>
            <w:fldChar w:fldCharType="separate"/>
          </w:r>
          <w:r w:rsidR="00226309" w:rsidRPr="001B5F05">
            <w:rPr>
              <w:rFonts w:ascii="Arial" w:hAnsi="Arial" w:cs="Arial"/>
              <w:noProof/>
              <w:color w:val="000000" w:themeColor="text1"/>
              <w:sz w:val="28"/>
              <w:szCs w:val="28"/>
            </w:rPr>
            <w:t>(Justicia Cotidiana, 2016)</w:t>
          </w:r>
          <w:r w:rsidRPr="001B5F05">
            <w:rPr>
              <w:rFonts w:ascii="Arial" w:hAnsi="Arial" w:cs="Arial"/>
              <w:color w:val="000000" w:themeColor="text1"/>
              <w:sz w:val="28"/>
              <w:szCs w:val="28"/>
            </w:rPr>
            <w:fldChar w:fldCharType="end"/>
          </w:r>
        </w:sdtContent>
      </w:sdt>
    </w:p>
    <w:p w14:paraId="76279AAE" w14:textId="77777777" w:rsidR="0045189D" w:rsidRPr="001B5F05" w:rsidRDefault="0045189D" w:rsidP="00F10CDB">
      <w:pPr>
        <w:spacing w:after="0" w:line="360" w:lineRule="auto"/>
        <w:jc w:val="both"/>
        <w:rPr>
          <w:rFonts w:ascii="Arial" w:hAnsi="Arial" w:cs="Arial"/>
          <w:color w:val="000000" w:themeColor="text1"/>
          <w:sz w:val="28"/>
          <w:szCs w:val="28"/>
        </w:rPr>
      </w:pPr>
    </w:p>
    <w:p w14:paraId="68660436" w14:textId="77777777" w:rsidR="0045189D" w:rsidRPr="001B5F05" w:rsidRDefault="0045189D" w:rsidP="00F10CDB">
      <w:pPr>
        <w:spacing w:after="0" w:line="360" w:lineRule="auto"/>
        <w:jc w:val="both"/>
        <w:rPr>
          <w:rFonts w:ascii="Arial" w:hAnsi="Arial" w:cs="Arial"/>
          <w:color w:val="000000" w:themeColor="text1"/>
          <w:sz w:val="28"/>
          <w:szCs w:val="28"/>
        </w:rPr>
      </w:pPr>
    </w:p>
    <w:p w14:paraId="2CBC8753" w14:textId="48816CB9" w:rsidR="0045189D" w:rsidRPr="001B5F05" w:rsidRDefault="000522C0"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JUNIOR SANCHEZ</w:t>
      </w:r>
    </w:p>
    <w:p w14:paraId="0FB727F3" w14:textId="0BE1FE23" w:rsidR="000522C0" w:rsidRPr="001B5F05" w:rsidRDefault="000522C0" w:rsidP="000522C0">
      <w:pPr>
        <w:jc w:val="center"/>
        <w:rPr>
          <w:rFonts w:ascii="Arial" w:hAnsi="Arial" w:cs="Arial"/>
          <w:color w:val="FF0000"/>
          <w:sz w:val="32"/>
        </w:rPr>
      </w:pPr>
      <w:r w:rsidRPr="001B5F05">
        <w:rPr>
          <w:rFonts w:ascii="Arial" w:hAnsi="Arial" w:cs="Arial"/>
          <w:color w:val="FF0000"/>
          <w:sz w:val="32"/>
        </w:rPr>
        <w:t>Estrategias de prevención de la violencia en contextos escolares</w:t>
      </w:r>
    </w:p>
    <w:p w14:paraId="41F59CB6" w14:textId="00845E7D" w:rsidR="000522C0" w:rsidRPr="001B5F05" w:rsidRDefault="000522C0" w:rsidP="000522C0">
      <w:pPr>
        <w:jc w:val="both"/>
        <w:rPr>
          <w:rFonts w:ascii="Arial" w:hAnsi="Arial" w:cs="Arial"/>
          <w:color w:val="FF0000"/>
          <w:sz w:val="28"/>
        </w:rPr>
      </w:pPr>
      <w:r w:rsidRPr="001B5F05">
        <w:rPr>
          <w:rStyle w:val="Textoennegrita"/>
          <w:rFonts w:ascii="Arial" w:hAnsi="Arial" w:cs="Arial"/>
          <w:color w:val="00B0F0"/>
          <w:sz w:val="28"/>
          <w:szCs w:val="28"/>
          <w:bdr w:val="single" w:sz="2" w:space="0" w:color="E3E3E3" w:frame="1"/>
        </w:rPr>
        <w:t>Promoción de un clima escolar seguro y acogedor:</w:t>
      </w:r>
      <w:r w:rsidRPr="001B5F05">
        <w:rPr>
          <w:rFonts w:ascii="Arial" w:hAnsi="Arial" w:cs="Arial"/>
          <w:color w:val="00B0F0"/>
          <w:sz w:val="28"/>
          <w:szCs w:val="28"/>
        </w:rPr>
        <w:t xml:space="preserve"> </w:t>
      </w:r>
      <w:r w:rsidRPr="001B5F05">
        <w:rPr>
          <w:rFonts w:ascii="Arial" w:hAnsi="Arial" w:cs="Arial"/>
          <w:sz w:val="28"/>
          <w:szCs w:val="28"/>
        </w:rPr>
        <w:t>Fomentar un ambiente escolar positivo y seguro es fundamental para prevenir la violencia. Esto implica promover el respeto mutuo, la inclusión y la tolerancia, así como establecer normas claras de convivencia y un sistema de apoyo para estudiantes en riesgo.</w:t>
      </w:r>
    </w:p>
    <w:p w14:paraId="0689C3B8"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Educación en habilidades socioemocionales:</w:t>
      </w:r>
      <w:r w:rsidRPr="001B5F05">
        <w:rPr>
          <w:rFonts w:ascii="Arial" w:hAnsi="Arial" w:cs="Arial"/>
          <w:color w:val="00B0F0"/>
          <w:sz w:val="28"/>
          <w:szCs w:val="28"/>
        </w:rPr>
        <w:t xml:space="preserve"> </w:t>
      </w:r>
      <w:r w:rsidRPr="001B5F05">
        <w:rPr>
          <w:rFonts w:ascii="Arial" w:hAnsi="Arial" w:cs="Arial"/>
          <w:sz w:val="28"/>
          <w:szCs w:val="28"/>
        </w:rPr>
        <w:t xml:space="preserve">Integrar programas de educación en habilidades socioemocionales en el currículo escolar puede ayudar a los estudiantes a desarrollar habilidades como la empatía, la resolución de conflictos y la </w:t>
      </w:r>
      <w:proofErr w:type="spellStart"/>
      <w:r w:rsidRPr="001B5F05">
        <w:rPr>
          <w:rFonts w:ascii="Arial" w:hAnsi="Arial" w:cs="Arial"/>
          <w:sz w:val="28"/>
          <w:szCs w:val="28"/>
        </w:rPr>
        <w:t>auto-regulación</w:t>
      </w:r>
      <w:proofErr w:type="spellEnd"/>
      <w:r w:rsidRPr="001B5F05">
        <w:rPr>
          <w:rFonts w:ascii="Arial" w:hAnsi="Arial" w:cs="Arial"/>
          <w:sz w:val="28"/>
          <w:szCs w:val="28"/>
        </w:rPr>
        <w:t xml:space="preserve"> emocional. Estas habilidades </w:t>
      </w:r>
      <w:r w:rsidRPr="001B5F05">
        <w:rPr>
          <w:rFonts w:ascii="Arial" w:hAnsi="Arial" w:cs="Arial"/>
          <w:sz w:val="28"/>
          <w:szCs w:val="28"/>
        </w:rPr>
        <w:lastRenderedPageBreak/>
        <w:t>fortalecen las relaciones interpersonales y reducen la probabilidad de comportamientos violentos.</w:t>
      </w:r>
    </w:p>
    <w:p w14:paraId="6E2615E6"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Prevención del acoso escolar (</w:t>
      </w:r>
      <w:proofErr w:type="spellStart"/>
      <w:r w:rsidRPr="001B5F05">
        <w:rPr>
          <w:rStyle w:val="Textoennegrita"/>
          <w:rFonts w:ascii="Arial" w:hAnsi="Arial" w:cs="Arial"/>
          <w:color w:val="00B0F0"/>
          <w:sz w:val="28"/>
          <w:szCs w:val="28"/>
          <w:bdr w:val="single" w:sz="2" w:space="0" w:color="E3E3E3" w:frame="1"/>
        </w:rPr>
        <w:t>bullying</w:t>
      </w:r>
      <w:proofErr w:type="spellEnd"/>
      <w:r w:rsidRPr="001B5F05">
        <w:rPr>
          <w:rStyle w:val="Textoennegrita"/>
          <w:rFonts w:ascii="Arial" w:hAnsi="Arial" w:cs="Arial"/>
          <w:color w:val="00B0F0"/>
          <w:sz w:val="28"/>
          <w:szCs w:val="28"/>
          <w:bdr w:val="single" w:sz="2" w:space="0" w:color="E3E3E3" w:frame="1"/>
        </w:rPr>
        <w:t>):</w:t>
      </w:r>
      <w:r w:rsidRPr="001B5F05">
        <w:rPr>
          <w:rFonts w:ascii="Arial" w:hAnsi="Arial" w:cs="Arial"/>
          <w:color w:val="00B0F0"/>
          <w:sz w:val="28"/>
          <w:szCs w:val="28"/>
        </w:rPr>
        <w:t xml:space="preserve"> </w:t>
      </w:r>
      <w:r w:rsidRPr="001B5F05">
        <w:rPr>
          <w:rFonts w:ascii="Arial" w:hAnsi="Arial" w:cs="Arial"/>
          <w:sz w:val="28"/>
          <w:szCs w:val="28"/>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p>
    <w:p w14:paraId="46231144"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Fomento de la participación estudiantil:</w:t>
      </w:r>
      <w:r w:rsidRPr="001B5F05">
        <w:rPr>
          <w:rFonts w:ascii="Arial" w:hAnsi="Arial" w:cs="Arial"/>
          <w:color w:val="00B0F0"/>
          <w:sz w:val="28"/>
          <w:szCs w:val="28"/>
        </w:rPr>
        <w:t xml:space="preserve"> </w:t>
      </w:r>
      <w:r w:rsidRPr="001B5F05">
        <w:rPr>
          <w:rFonts w:ascii="Arial" w:hAnsi="Arial" w:cs="Arial"/>
          <w:sz w:val="28"/>
          <w:szCs w:val="28"/>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p>
    <w:p w14:paraId="4A5A2928"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Intervención temprana y apoyo psicosocial:</w:t>
      </w:r>
      <w:r w:rsidRPr="001B5F05">
        <w:rPr>
          <w:rFonts w:ascii="Arial" w:hAnsi="Arial" w:cs="Arial"/>
          <w:color w:val="00B0F0"/>
          <w:sz w:val="28"/>
          <w:szCs w:val="28"/>
        </w:rPr>
        <w:t xml:space="preserve"> </w:t>
      </w:r>
      <w:r w:rsidRPr="001B5F05">
        <w:rPr>
          <w:rFonts w:ascii="Arial" w:hAnsi="Arial" w:cs="Arial"/>
          <w:sz w:val="28"/>
          <w:szCs w:val="28"/>
        </w:rPr>
        <w:t>Identificar y apoyar a los estudiantes en riesgo de comportamiento violento es esencial para prevenir incidentes graves. Ofrecer servicios de asesoramiento y apoyo psicológico, así como programas de intervención temprana para abordar factores de riesgo como el estrés, la depresión o la violencia en el hogar, puede ayudar a reducir la probabilidad de que los estudiantes recurran a la violencia.</w:t>
      </w:r>
    </w:p>
    <w:p w14:paraId="73A8213D" w14:textId="2B19988D" w:rsidR="00A31BD4"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Colaboración con la comunidad:</w:t>
      </w:r>
      <w:r w:rsidRPr="001B5F05">
        <w:rPr>
          <w:rFonts w:ascii="Arial" w:hAnsi="Arial" w:cs="Arial"/>
          <w:color w:val="00B0F0"/>
          <w:sz w:val="28"/>
          <w:szCs w:val="28"/>
        </w:rPr>
        <w:t xml:space="preserve"> </w:t>
      </w:r>
      <w:r w:rsidRPr="001B5F05">
        <w:rPr>
          <w:rFonts w:ascii="Arial" w:hAnsi="Arial" w:cs="Arial"/>
          <w:sz w:val="28"/>
          <w:szCs w:val="28"/>
        </w:rPr>
        <w:t>La prevención de la violencia escolar requiere el compromiso y la colaboración de toda la comunidad, incluidos padres, autoridades locales, organizaciones sin fines de lucro y agencias gubernamentales. Establecer alianzas y programas de colaboración que aborden las causas subyacentes de la violencia y promuevan entornos seguros y saludables en la comunidad puede tener un impacto positivo duradero.</w:t>
      </w:r>
      <w:sdt>
        <w:sdtPr>
          <w:rPr>
            <w:rFonts w:ascii="Arial" w:hAnsi="Arial" w:cs="Arial"/>
            <w:sz w:val="28"/>
            <w:szCs w:val="28"/>
          </w:rPr>
          <w:id w:val="509806390"/>
          <w:citation/>
        </w:sdtPr>
        <w:sdtEndPr/>
        <w:sdtContent>
          <w:r w:rsidRPr="001B5F05">
            <w:rPr>
              <w:rFonts w:ascii="Arial" w:hAnsi="Arial" w:cs="Arial"/>
              <w:sz w:val="28"/>
              <w:szCs w:val="28"/>
            </w:rPr>
            <w:fldChar w:fldCharType="begin"/>
          </w:r>
          <w:r w:rsidRPr="001B5F05">
            <w:rPr>
              <w:rFonts w:ascii="Arial" w:hAnsi="Arial" w:cs="Arial"/>
              <w:sz w:val="28"/>
              <w:szCs w:val="28"/>
            </w:rPr>
            <w:instrText xml:space="preserve"> CITATION Jor18 \l 4106 </w:instrText>
          </w:r>
          <w:r w:rsidRPr="001B5F05">
            <w:rPr>
              <w:rFonts w:ascii="Arial" w:hAnsi="Arial" w:cs="Arial"/>
              <w:sz w:val="28"/>
              <w:szCs w:val="28"/>
            </w:rPr>
            <w:fldChar w:fldCharType="separate"/>
          </w:r>
          <w:r w:rsidR="00226309" w:rsidRPr="001B5F05">
            <w:rPr>
              <w:rFonts w:ascii="Arial" w:hAnsi="Arial" w:cs="Arial"/>
              <w:noProof/>
              <w:sz w:val="28"/>
              <w:szCs w:val="28"/>
            </w:rPr>
            <w:t xml:space="preserve"> (Cartilla, ¿Cómo prevenir y abordar, 2018)</w:t>
          </w:r>
          <w:r w:rsidRPr="001B5F05">
            <w:rPr>
              <w:rFonts w:ascii="Arial" w:hAnsi="Arial" w:cs="Arial"/>
              <w:sz w:val="28"/>
              <w:szCs w:val="28"/>
            </w:rPr>
            <w:fldChar w:fldCharType="end"/>
          </w:r>
        </w:sdtContent>
      </w:sdt>
    </w:p>
    <w:p w14:paraId="09D756E5" w14:textId="12D3ED49" w:rsidR="00EC6D8D" w:rsidRPr="001B5F05" w:rsidRDefault="00EC6D8D">
      <w:pPr>
        <w:spacing w:after="0" w:line="240" w:lineRule="auto"/>
        <w:rPr>
          <w:rFonts w:ascii="Arial" w:hAnsi="Arial" w:cs="Arial"/>
          <w:sz w:val="28"/>
          <w:szCs w:val="28"/>
        </w:rPr>
      </w:pPr>
      <w:r w:rsidRPr="001B5F05">
        <w:rPr>
          <w:rFonts w:ascii="Arial" w:hAnsi="Arial" w:cs="Arial"/>
          <w:sz w:val="28"/>
          <w:szCs w:val="28"/>
        </w:rPr>
        <w:br w:type="page"/>
      </w:r>
    </w:p>
    <w:p w14:paraId="5AECD71F" w14:textId="37C9D905" w:rsidR="008201EF" w:rsidRPr="001B5F05" w:rsidRDefault="002E007F" w:rsidP="008201EF">
      <w:pPr>
        <w:spacing w:after="0" w:line="240" w:lineRule="auto"/>
        <w:jc w:val="center"/>
        <w:rPr>
          <w:rFonts w:ascii="Arial" w:hAnsi="Arial" w:cs="Arial"/>
          <w:b/>
          <w:bCs/>
          <w:sz w:val="36"/>
          <w:szCs w:val="36"/>
        </w:rPr>
      </w:pPr>
      <w:r w:rsidRPr="001B5F05">
        <w:rPr>
          <w:rFonts w:ascii="Arial" w:hAnsi="Arial" w:cs="Arial"/>
          <w:b/>
          <w:bCs/>
          <w:sz w:val="36"/>
          <w:szCs w:val="36"/>
        </w:rPr>
        <w:lastRenderedPageBreak/>
        <w:t>Participación estudiantil y liderazgo juvenil</w:t>
      </w:r>
    </w:p>
    <w:p w14:paraId="7DA28314" w14:textId="77777777" w:rsidR="005B4F21" w:rsidRPr="001B5F05" w:rsidRDefault="005B4F21" w:rsidP="00EC6D8D">
      <w:pPr>
        <w:spacing w:after="0" w:line="240" w:lineRule="auto"/>
        <w:jc w:val="center"/>
        <w:rPr>
          <w:rFonts w:ascii="Arial" w:hAnsi="Arial" w:cs="Arial"/>
          <w:b/>
          <w:bCs/>
          <w:sz w:val="36"/>
          <w:szCs w:val="36"/>
        </w:rPr>
      </w:pPr>
    </w:p>
    <w:p w14:paraId="2D3DB78D" w14:textId="77777777" w:rsidR="008201EF" w:rsidRPr="001B5F05" w:rsidRDefault="005B4F21" w:rsidP="00C1598B">
      <w:pPr>
        <w:spacing w:after="0" w:line="360" w:lineRule="auto"/>
        <w:rPr>
          <w:rFonts w:ascii="Arial" w:hAnsi="Arial" w:cs="Arial"/>
          <w:sz w:val="28"/>
          <w:szCs w:val="28"/>
          <w:shd w:val="clear" w:color="auto" w:fill="FFFFFF"/>
        </w:rPr>
      </w:pPr>
      <w:r w:rsidRPr="001B5F05">
        <w:rPr>
          <w:rFonts w:ascii="Arial" w:hAnsi="Arial" w:cs="Arial"/>
          <w:sz w:val="28"/>
          <w:szCs w:val="28"/>
          <w:shd w:val="clear" w:color="auto" w:fill="FFFFFF"/>
        </w:rPr>
        <w:t>En la actualidad, la participación ha cobrado fuerte relevancia en el ámbito educativo. Por tal razón, la política educativa, mediante una serie de marcos normativos ha querido fortalecer esta acción desde diferentes dimensiones. En primer lugar, desde el ámbito de la convivencia escolar para promover espacios que faciliten la construcción de identidades positivas y de buen trato dentro de la comunidad escolar</w:t>
      </w:r>
      <w:r w:rsidR="00C1598B" w:rsidRPr="001B5F05">
        <w:rPr>
          <w:rFonts w:ascii="Arial" w:hAnsi="Arial" w:cs="Arial"/>
          <w:sz w:val="28"/>
          <w:szCs w:val="28"/>
          <w:shd w:val="clear" w:color="auto" w:fill="FFFFFF"/>
        </w:rPr>
        <w:t xml:space="preserve"> en segundo lugar, la importancia de la formación ciudadana a partir de la creación de un plan de acción (Ley 20.911), con el fin de desarrollar una participación cívica activa de los estudiantes, y, desde el liderazgo escolar a partir de la gestión pedagógica que se desarrolla en las comunidades escolares</w:t>
      </w:r>
    </w:p>
    <w:p w14:paraId="35942F12" w14:textId="77777777" w:rsidR="00F00D8C" w:rsidRPr="001B5F05" w:rsidRDefault="001F576A" w:rsidP="00C1598B">
      <w:pPr>
        <w:spacing w:after="0" w:line="360" w:lineRule="auto"/>
        <w:rPr>
          <w:rFonts w:ascii="Arial" w:hAnsi="Arial" w:cs="Arial"/>
          <w:sz w:val="28"/>
          <w:szCs w:val="28"/>
          <w:shd w:val="clear" w:color="auto" w:fill="FFFFFF"/>
        </w:rPr>
      </w:pPr>
      <w:r w:rsidRPr="001B5F05">
        <w:rPr>
          <w:rFonts w:ascii="Arial" w:hAnsi="Arial" w:cs="Arial"/>
          <w:sz w:val="28"/>
          <w:szCs w:val="28"/>
          <w:shd w:val="clear" w:color="auto" w:fill="FFFFFF"/>
        </w:rPr>
        <w:t>Desde el punto de vista conceptual, la participación puede adquirir diferentes significados dependiendo de la perspectiva o enfoque de investigación. Desde la definición más básica, se entiende la participación como la asociación del individuo con otros, es decir, corresponde a un paso desde un acto individual a uno colectivo Desde una perspectiva organizacional, y acorde a la orientación de este estudio, la participación se considera como una dimensión del liderazgo</w:t>
      </w:r>
      <w:r w:rsidR="000C4B0A" w:rsidRPr="001B5F05">
        <w:rPr>
          <w:rFonts w:ascii="Arial" w:hAnsi="Arial" w:cs="Arial"/>
          <w:sz w:val="28"/>
          <w:szCs w:val="28"/>
          <w:shd w:val="clear" w:color="auto" w:fill="FFFFFF"/>
        </w:rPr>
        <w:t xml:space="preserve"> enfatizando en un estilo democrático y distribuido de dirección. En el ámbito educativo, lo anterior se traduce en la redistribución del poder, la autoridad, y la toma de decisiones compartiendo las acciones, prácticas y responsabilidades.</w:t>
      </w:r>
    </w:p>
    <w:p w14:paraId="6742BA4C" w14:textId="14D7CB05" w:rsidR="00EC6D8D" w:rsidRPr="001B5F05" w:rsidRDefault="00EC6D8D" w:rsidP="00C1598B">
      <w:pPr>
        <w:spacing w:after="0" w:line="360" w:lineRule="auto"/>
        <w:rPr>
          <w:rFonts w:ascii="Arial" w:hAnsi="Arial" w:cs="Arial"/>
          <w:sz w:val="28"/>
          <w:szCs w:val="28"/>
        </w:rPr>
      </w:pPr>
      <w:r w:rsidRPr="001B5F05">
        <w:rPr>
          <w:rFonts w:ascii="Arial" w:hAnsi="Arial" w:cs="Arial"/>
          <w:sz w:val="28"/>
          <w:szCs w:val="28"/>
        </w:rPr>
        <w:br w:type="page"/>
      </w:r>
    </w:p>
    <w:p w14:paraId="2A1D5007" w14:textId="1076A797" w:rsidR="00EC6D8D" w:rsidRPr="001B5F05" w:rsidRDefault="00EC6D8D" w:rsidP="003C461D">
      <w:pPr>
        <w:spacing w:after="0" w:line="240" w:lineRule="auto"/>
        <w:rPr>
          <w:rFonts w:ascii="Arial" w:hAnsi="Arial" w:cs="Arial"/>
          <w:sz w:val="28"/>
          <w:szCs w:val="28"/>
        </w:rPr>
      </w:pPr>
    </w:p>
    <w:p w14:paraId="46DE5057" w14:textId="7D193256" w:rsidR="00F10CDB" w:rsidRPr="001B5F05" w:rsidRDefault="00AA51CB" w:rsidP="00AA51CB">
      <w:pPr>
        <w:pStyle w:val="Ttulo"/>
        <w:jc w:val="center"/>
        <w:rPr>
          <w:rFonts w:ascii="Arial" w:hAnsi="Arial" w:cs="Arial"/>
        </w:rPr>
      </w:pPr>
      <w:r w:rsidRPr="001B5F05">
        <w:rPr>
          <w:rFonts w:ascii="Arial" w:hAnsi="Arial" w:cs="Arial"/>
        </w:rPr>
        <w:t>Metas corto, mediano y largo plazo</w:t>
      </w:r>
    </w:p>
    <w:p w14:paraId="7F0E914F" w14:textId="77777777" w:rsidR="00AA51CB" w:rsidRPr="001B5F05" w:rsidRDefault="00AA51CB" w:rsidP="00AA51CB">
      <w:pPr>
        <w:pStyle w:val="Ttulo2"/>
        <w:rPr>
          <w:rFonts w:ascii="Arial" w:hAnsi="Arial" w:cs="Arial"/>
        </w:rPr>
      </w:pPr>
    </w:p>
    <w:p w14:paraId="472B3937" w14:textId="6B3583CF" w:rsidR="00AA51CB" w:rsidRPr="001B5F05" w:rsidRDefault="00AA51CB" w:rsidP="00293914">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 xml:space="preserve">Metas a corto plazo: </w:t>
      </w:r>
    </w:p>
    <w:p w14:paraId="603F8B03" w14:textId="77777777" w:rsidR="00293914" w:rsidRPr="001B5F05" w:rsidRDefault="00AA51CB" w:rsidP="00293914">
      <w:pPr>
        <w:pStyle w:val="Prrafodelista"/>
        <w:numPr>
          <w:ilvl w:val="0"/>
          <w:numId w:val="3"/>
        </w:numPr>
        <w:jc w:val="both"/>
        <w:rPr>
          <w:rFonts w:ascii="Arial" w:hAnsi="Arial" w:cs="Arial"/>
          <w:color w:val="000000" w:themeColor="text1"/>
          <w:sz w:val="28"/>
          <w:szCs w:val="28"/>
        </w:rPr>
      </w:pPr>
      <w:r w:rsidRPr="001B5F05">
        <w:rPr>
          <w:rFonts w:ascii="Arial" w:hAnsi="Arial" w:cs="Arial"/>
          <w:color w:val="000000" w:themeColor="text1"/>
          <w:sz w:val="28"/>
          <w:szCs w:val="28"/>
        </w:rPr>
        <w:t xml:space="preserve">Para el próximo año 2025 nos gustaría </w:t>
      </w:r>
      <w:r w:rsidR="00293914" w:rsidRPr="001B5F05">
        <w:rPr>
          <w:rFonts w:ascii="Arial" w:hAnsi="Arial" w:cs="Arial"/>
          <w:color w:val="000000" w:themeColor="text1"/>
          <w:sz w:val="28"/>
          <w:szCs w:val="28"/>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562807BF" w14:textId="082C99BA" w:rsidR="00293914" w:rsidRPr="001B5F05" w:rsidRDefault="00293914" w:rsidP="00293914">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Pr="001B5F05" w:rsidRDefault="00293914" w:rsidP="008B711C">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sidRPr="001B5F05">
        <w:rPr>
          <w:rFonts w:ascii="Arial" w:hAnsi="Arial" w:cs="Arial"/>
          <w:color w:val="000000" w:themeColor="text1"/>
          <w:sz w:val="28"/>
          <w:szCs w:val="28"/>
        </w:rPr>
        <w:t>.</w:t>
      </w:r>
    </w:p>
    <w:p w14:paraId="5DDE0224" w14:textId="77777777" w:rsidR="00003D9E" w:rsidRPr="001B5F05" w:rsidRDefault="00003D9E" w:rsidP="008B711C">
      <w:pPr>
        <w:pStyle w:val="Prrafodelista"/>
        <w:ind w:left="1068"/>
        <w:jc w:val="both"/>
        <w:rPr>
          <w:rFonts w:ascii="Arial" w:hAnsi="Arial" w:cs="Arial"/>
          <w:color w:val="000000" w:themeColor="text1"/>
          <w:sz w:val="28"/>
          <w:szCs w:val="28"/>
        </w:rPr>
      </w:pPr>
    </w:p>
    <w:p w14:paraId="26A784AE" w14:textId="455800AC" w:rsidR="00003D9E" w:rsidRPr="001B5F05" w:rsidRDefault="008B711C" w:rsidP="00003D9E">
      <w:pPr>
        <w:pStyle w:val="Prrafodelista"/>
        <w:numPr>
          <w:ilvl w:val="0"/>
          <w:numId w:val="3"/>
        </w:numPr>
        <w:jc w:val="both"/>
        <w:rPr>
          <w:rFonts w:ascii="Arial" w:hAnsi="Arial" w:cs="Arial"/>
          <w:color w:val="000000" w:themeColor="text1"/>
          <w:sz w:val="28"/>
          <w:szCs w:val="28"/>
        </w:rPr>
      </w:pPr>
      <w:r w:rsidRPr="001B5F05">
        <w:rPr>
          <w:rFonts w:ascii="Arial" w:hAnsi="Arial" w:cs="Arial"/>
          <w:color w:val="000000" w:themeColor="text1"/>
          <w:sz w:val="28"/>
          <w:szCs w:val="28"/>
        </w:rPr>
        <w:t xml:space="preserve">Como otra meta que proponemos para el próximo año 2025 es impulsar las PYMES </w:t>
      </w:r>
      <w:r w:rsidR="00003D9E" w:rsidRPr="001B5F05">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1B5F05">
        <w:rPr>
          <w:rFonts w:ascii="Arial" w:hAnsi="Arial" w:cs="Arial"/>
        </w:rPr>
        <w:t xml:space="preserve"> </w:t>
      </w:r>
      <w:r w:rsidR="00003D9E" w:rsidRPr="001B5F05">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enfrentan numerosos desafíos que limitan su crecimiento y </w:t>
      </w:r>
      <w:r w:rsidR="00003D9E" w:rsidRPr="001B5F05">
        <w:rPr>
          <w:rFonts w:ascii="Arial" w:hAnsi="Arial" w:cs="Arial"/>
          <w:color w:val="000000" w:themeColor="text1"/>
          <w:sz w:val="28"/>
          <w:szCs w:val="28"/>
        </w:rPr>
        <w:lastRenderedPageBreak/>
        <w:t>desarrollo, como la falta de acceso a financiamiento, la burocracia excesiva, la falta de capacitación y la competencia desleal.</w:t>
      </w:r>
    </w:p>
    <w:p w14:paraId="0399D91D" w14:textId="77777777" w:rsidR="00003D9E" w:rsidRPr="001B5F05" w:rsidRDefault="00003D9E" w:rsidP="00003D9E">
      <w:pPr>
        <w:pStyle w:val="Prrafodelista"/>
        <w:ind w:left="1068"/>
        <w:jc w:val="both"/>
        <w:rPr>
          <w:rFonts w:ascii="Arial" w:hAnsi="Arial" w:cs="Arial"/>
          <w:color w:val="000000" w:themeColor="text1"/>
          <w:sz w:val="28"/>
          <w:szCs w:val="28"/>
        </w:rPr>
      </w:pPr>
    </w:p>
    <w:p w14:paraId="44AA5B57" w14:textId="402ACF1A" w:rsidR="008B711C" w:rsidRPr="001B5F05" w:rsidRDefault="00003D9E" w:rsidP="00003D9E">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7D387F9B" w14:textId="77777777" w:rsidR="00C935A9" w:rsidRPr="001B5F05" w:rsidRDefault="00C935A9" w:rsidP="00003D9E">
      <w:pPr>
        <w:pStyle w:val="Prrafodelista"/>
        <w:ind w:left="1068"/>
        <w:jc w:val="both"/>
        <w:rPr>
          <w:rFonts w:ascii="Arial" w:hAnsi="Arial" w:cs="Arial"/>
          <w:color w:val="000000" w:themeColor="text1"/>
          <w:sz w:val="28"/>
          <w:szCs w:val="28"/>
        </w:rPr>
      </w:pPr>
    </w:p>
    <w:p w14:paraId="3A8BBF63" w14:textId="77777777" w:rsidR="0095596C" w:rsidRPr="001B5F05" w:rsidRDefault="0095596C" w:rsidP="00C935A9">
      <w:pPr>
        <w:spacing w:after="0" w:line="240" w:lineRule="auto"/>
        <w:rPr>
          <w:rFonts w:ascii="Arial" w:hAnsi="Arial" w:cs="Arial"/>
          <w:b/>
          <w:bCs/>
          <w:color w:val="000000" w:themeColor="text1"/>
          <w:sz w:val="28"/>
          <w:szCs w:val="28"/>
        </w:rPr>
      </w:pPr>
    </w:p>
    <w:p w14:paraId="1E3A1E1F" w14:textId="2258B3D2" w:rsidR="00C935A9" w:rsidRPr="001B5F05" w:rsidRDefault="00C935A9" w:rsidP="00C935A9">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 xml:space="preserve">Metas a largo plazo: </w:t>
      </w:r>
    </w:p>
    <w:p w14:paraId="24ED9399" w14:textId="6AE9004C" w:rsidR="00C935A9" w:rsidRPr="001B5F05" w:rsidRDefault="00D82059" w:rsidP="00F00D8C">
      <w:pPr>
        <w:pStyle w:val="Prrafodelista"/>
        <w:numPr>
          <w:ilvl w:val="0"/>
          <w:numId w:val="10"/>
        </w:numPr>
        <w:spacing w:line="360" w:lineRule="auto"/>
        <w:ind w:left="1134" w:hanging="357"/>
        <w:jc w:val="both"/>
        <w:rPr>
          <w:rFonts w:ascii="Arial" w:hAnsi="Arial" w:cs="Arial"/>
          <w:color w:val="000000" w:themeColor="text1"/>
          <w:sz w:val="36"/>
          <w:szCs w:val="36"/>
        </w:rPr>
      </w:pPr>
      <w:r w:rsidRPr="001B5F05">
        <w:rPr>
          <w:rFonts w:ascii="Arial" w:hAnsi="Arial" w:cs="Arial"/>
          <w:color w:val="0D0D0D"/>
          <w:sz w:val="28"/>
          <w:szCs w:val="28"/>
          <w:shd w:val="clear" w:color="auto" w:fill="FFFFFF"/>
        </w:rPr>
        <w:t>Otra meta que considero de suma importancia es la transición hacia una economía sostenible y respetuosa con el medio ambiente. Esto implica promover activamente el uso de energías renovables, reducir la huella ambiental de nuestras industrias clave, adoptar prácticas agrícolas sostenibles, proteger nuestras áreas naturales y educar a la población sobre la importancia de conservar nuestro entorno. Al lograr esta transición, no solo estaremos beneficiando al medio ambiente y asegurando un futuro más saludable para las generaciones venideras, sino que también estaremos abriendo nuevas oportunidades económicas y mejorando la calidad de vida de todos los ciudadanos.</w:t>
      </w:r>
    </w:p>
    <w:p w14:paraId="1C08B031" w14:textId="68F42315" w:rsidR="00D82059" w:rsidRPr="001B5F05" w:rsidRDefault="006B2FD1" w:rsidP="00F00D8C">
      <w:pPr>
        <w:pStyle w:val="Prrafodelista"/>
        <w:numPr>
          <w:ilvl w:val="0"/>
          <w:numId w:val="10"/>
        </w:numPr>
        <w:spacing w:line="360" w:lineRule="auto"/>
        <w:ind w:left="1134" w:hanging="357"/>
        <w:jc w:val="both"/>
        <w:rPr>
          <w:rFonts w:ascii="Arial" w:hAnsi="Arial" w:cs="Arial"/>
          <w:sz w:val="44"/>
          <w:szCs w:val="44"/>
        </w:rPr>
      </w:pPr>
      <w:r w:rsidRPr="001B5F05">
        <w:rPr>
          <w:rFonts w:ascii="Arial" w:hAnsi="Arial" w:cs="Arial"/>
          <w:sz w:val="28"/>
          <w:szCs w:val="28"/>
          <w:shd w:val="clear" w:color="auto" w:fill="FFFFFF"/>
        </w:rPr>
        <w:t>Me propongo a largo plazo trabajar incansablemente para reducir la pobreza extrema en nuestro país. Es una meta que me mueve profundamente, porque entiendo las dificultades que enfrentan muchas personas día a día. Quiero construir un futuro donde todos tengan oportunidades reales de prosperar, sin importar su origen o situación económic</w:t>
      </w:r>
      <w:r w:rsidR="005D6523" w:rsidRPr="001B5F05">
        <w:rPr>
          <w:rFonts w:ascii="Arial" w:hAnsi="Arial" w:cs="Arial"/>
          <w:sz w:val="28"/>
          <w:szCs w:val="28"/>
          <w:shd w:val="clear" w:color="auto" w:fill="FFFFFF"/>
        </w:rPr>
        <w:t>a.</w:t>
      </w:r>
    </w:p>
    <w:sdt>
      <w:sdtPr>
        <w:rPr>
          <w:rFonts w:ascii="Calibri" w:eastAsia="Calibri" w:hAnsi="Calibri" w:cs="Times New Roman"/>
          <w:color w:val="auto"/>
          <w:sz w:val="22"/>
          <w:szCs w:val="22"/>
          <w:lang w:val="es-ES" w:eastAsia="en-US"/>
        </w:rPr>
        <w:id w:val="232670495"/>
        <w:docPartObj>
          <w:docPartGallery w:val="Bibliographies"/>
          <w:docPartUnique/>
        </w:docPartObj>
      </w:sdtPr>
      <w:sdtEndPr>
        <w:rPr>
          <w:lang w:val="es-GT"/>
        </w:rPr>
      </w:sdtEndPr>
      <w:sdtContent>
        <w:p w14:paraId="0F6E2CE8" w14:textId="66A67CA5" w:rsidR="00533D51" w:rsidRDefault="00533D51">
          <w:pPr>
            <w:pStyle w:val="Ttulo1"/>
          </w:pPr>
          <w:r>
            <w:rPr>
              <w:lang w:val="es-ES"/>
            </w:rPr>
            <w:t>Bibliografía</w:t>
          </w:r>
        </w:p>
        <w:sdt>
          <w:sdtPr>
            <w:id w:val="111145805"/>
            <w:bibliography/>
          </w:sdtPr>
          <w:sdtEndPr/>
          <w:sdtContent>
            <w:p w14:paraId="4C9D3B86" w14:textId="77777777" w:rsidR="00226309" w:rsidRDefault="00533D51" w:rsidP="00226309">
              <w:pPr>
                <w:pStyle w:val="Bibliografa"/>
                <w:ind w:left="720" w:hanging="720"/>
                <w:rPr>
                  <w:noProof/>
                  <w:sz w:val="24"/>
                  <w:szCs w:val="24"/>
                  <w:lang w:val="es-ES"/>
                </w:rPr>
              </w:pPr>
              <w:r>
                <w:fldChar w:fldCharType="begin"/>
              </w:r>
              <w:r>
                <w:instrText>BIBLIOGRAPHY</w:instrText>
              </w:r>
              <w:r>
                <w:fldChar w:fldCharType="separate"/>
              </w:r>
              <w:r w:rsidR="00226309">
                <w:rPr>
                  <w:noProof/>
                  <w:lang w:val="es-ES"/>
                </w:rPr>
                <w:t xml:space="preserve">Cartilla, J. (10 de 5 de 2018). </w:t>
              </w:r>
              <w:r w:rsidR="00226309">
                <w:rPr>
                  <w:i/>
                  <w:iCs/>
                  <w:noProof/>
                  <w:lang w:val="es-ES"/>
                </w:rPr>
                <w:t>¿Cómo prevenir y abordar</w:t>
              </w:r>
              <w:r w:rsidR="00226309">
                <w:rPr>
                  <w:noProof/>
                  <w:lang w:val="es-ES"/>
                </w:rPr>
                <w:t>. Obtenido de ¿Cómo prevenir y abordar : https://convivenciaparaciudadania.mineduc.cl/wp-content/uploads/2019/10/cartilla_10.pdf</w:t>
              </w:r>
            </w:p>
            <w:p w14:paraId="47015B92" w14:textId="77777777" w:rsidR="00226309" w:rsidRDefault="00226309" w:rsidP="00226309">
              <w:pPr>
                <w:pStyle w:val="Bibliografa"/>
                <w:ind w:left="720" w:hanging="720"/>
                <w:rPr>
                  <w:noProof/>
                  <w:lang w:val="es-ES"/>
                </w:rPr>
              </w:pPr>
              <w:r>
                <w:rPr>
                  <w:noProof/>
                  <w:lang w:val="es-ES"/>
                </w:rPr>
                <w:t xml:space="preserve">Cartilla, J. (10 de 5 de 2018). </w:t>
              </w:r>
              <w:r>
                <w:rPr>
                  <w:i/>
                  <w:iCs/>
                  <w:noProof/>
                  <w:lang w:val="es-ES"/>
                </w:rPr>
                <w:t>¿Cómo prevenir y abordar</w:t>
              </w:r>
              <w:r>
                <w:rPr>
                  <w:noProof/>
                  <w:lang w:val="es-ES"/>
                </w:rPr>
                <w:t>. Obtenido de ¿Cómo prevenir y abordar: https://convivenciaparaciudadania.mineduc.cl/wp-content/uploads/2019/10/cartilla_10.pdf</w:t>
              </w:r>
            </w:p>
            <w:p w14:paraId="1A22CC5A" w14:textId="77777777" w:rsidR="00226309" w:rsidRDefault="00226309" w:rsidP="00226309">
              <w:pPr>
                <w:pStyle w:val="Bibliografa"/>
                <w:ind w:left="720" w:hanging="720"/>
                <w:rPr>
                  <w:noProof/>
                  <w:lang w:val="es-ES"/>
                </w:rPr>
              </w:pPr>
              <w:r>
                <w:rPr>
                  <w:noProof/>
                  <w:lang w:val="es-ES"/>
                </w:rPr>
                <w:t xml:space="preserve">Cox y Castillo. (2015). </w:t>
              </w:r>
              <w:r>
                <w:rPr>
                  <w:i/>
                  <w:iCs/>
                  <w:noProof/>
                  <w:lang w:val="es-ES"/>
                </w:rPr>
                <w:t>https://www.redalyc.org/journal/2431/243170668008/html/</w:t>
              </w:r>
              <w:r>
                <w:rPr>
                  <w:noProof/>
                  <w:lang w:val="es-ES"/>
                </w:rPr>
                <w:t>. Obtenido de https://www.redalyc.org/journal/2431/243170668008/html/: https://www.redalyc.org/journal/2431/243170668008/html/</w:t>
              </w:r>
            </w:p>
            <w:p w14:paraId="44066A24" w14:textId="77777777" w:rsidR="00226309" w:rsidRDefault="00226309" w:rsidP="00226309">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4522D1ED" w14:textId="77777777" w:rsidR="00226309" w:rsidRDefault="00226309" w:rsidP="00226309">
              <w:pPr>
                <w:pStyle w:val="Bibliografa"/>
                <w:ind w:left="720" w:hanging="720"/>
                <w:rPr>
                  <w:noProof/>
                  <w:lang w:val="es-ES"/>
                </w:rPr>
              </w:pPr>
              <w:r>
                <w:rPr>
                  <w:noProof/>
                  <w:lang w:val="es-ES"/>
                </w:rPr>
                <w:t xml:space="preserve">Moroto, S. F. (1992). </w:t>
              </w:r>
              <w:r>
                <w:rPr>
                  <w:i/>
                  <w:iCs/>
                  <w:noProof/>
                  <w:lang w:val="es-ES"/>
                </w:rPr>
                <w:t>Liderazgo y participación en escuelas públicas</w:t>
              </w:r>
              <w:r>
                <w:rPr>
                  <w:noProof/>
                  <w:lang w:val="es-ES"/>
                </w:rPr>
                <w:t>. Obtenido de Liderazgo y participación en escuelas públicas: https://www.redalyc.org/journal/2431/243170668008/html/</w:t>
              </w:r>
            </w:p>
            <w:p w14:paraId="10BD7735" w14:textId="6C026C00" w:rsidR="00533D51" w:rsidRDefault="00533D51" w:rsidP="00226309">
              <w:r>
                <w:rPr>
                  <w:b/>
                  <w:bCs/>
                </w:rPr>
                <w:fldChar w:fldCharType="end"/>
              </w:r>
            </w:p>
          </w:sdtContent>
        </w:sdt>
      </w:sdtContent>
    </w:sdt>
    <w:p w14:paraId="4A8DD68C" w14:textId="77777777" w:rsidR="00533D51" w:rsidRDefault="00533D51" w:rsidP="00533D51">
      <w:pPr>
        <w:spacing w:after="0" w:line="360" w:lineRule="auto"/>
        <w:jc w:val="both"/>
        <w:rPr>
          <w:rFonts w:ascii="Arial" w:hAnsi="Arial" w:cs="Arial"/>
          <w:b/>
          <w:bCs/>
          <w:color w:val="000000" w:themeColor="text1"/>
          <w:sz w:val="24"/>
          <w:szCs w:val="24"/>
        </w:rPr>
      </w:pPr>
    </w:p>
    <w:p w14:paraId="60314685" w14:textId="027B95BA" w:rsidR="0095596C" w:rsidRPr="0095596C" w:rsidRDefault="00A26308" w:rsidP="003B0100">
      <w:pPr>
        <w:spacing w:after="0" w:line="360" w:lineRule="auto"/>
        <w:ind w:left="360"/>
        <w:jc w:val="both"/>
        <w:rPr>
          <w:rFonts w:ascii="Arial" w:hAnsi="Arial" w:cs="Arial"/>
          <w:b/>
          <w:bCs/>
          <w:color w:val="000000" w:themeColor="text1"/>
          <w:sz w:val="24"/>
          <w:szCs w:val="24"/>
        </w:rPr>
      </w:pPr>
      <w:sdt>
        <w:sdtPr>
          <w:rPr>
            <w:rFonts w:ascii="Arial" w:hAnsi="Arial" w:cs="Arial"/>
            <w:b/>
            <w:bCs/>
            <w:color w:val="000000" w:themeColor="text1"/>
            <w:sz w:val="24"/>
            <w:szCs w:val="24"/>
          </w:rPr>
          <w:id w:val="-1940051574"/>
          <w:citation/>
        </w:sdtPr>
        <w:sdtEndPr/>
        <w:sdtContent>
          <w:r w:rsidR="000522C0">
            <w:rPr>
              <w:rFonts w:ascii="Arial" w:hAnsi="Arial" w:cs="Arial"/>
              <w:b/>
              <w:bCs/>
              <w:color w:val="000000" w:themeColor="text1"/>
              <w:sz w:val="24"/>
              <w:szCs w:val="24"/>
            </w:rPr>
            <w:fldChar w:fldCharType="begin"/>
          </w:r>
          <w:r w:rsidR="000522C0">
            <w:rPr>
              <w:rFonts w:ascii="Arial" w:hAnsi="Arial" w:cs="Arial"/>
              <w:b/>
              <w:bCs/>
              <w:color w:val="000000" w:themeColor="text1"/>
              <w:sz w:val="24"/>
              <w:szCs w:val="24"/>
            </w:rPr>
            <w:instrText xml:space="preserve"> CITATION Jor181 \l 4106 </w:instrText>
          </w:r>
          <w:r w:rsidR="008201EF">
            <w:rPr>
              <w:rFonts w:ascii="Arial" w:hAnsi="Arial" w:cs="Arial"/>
              <w:b/>
              <w:bCs/>
              <w:color w:val="000000" w:themeColor="text1"/>
              <w:sz w:val="24"/>
              <w:szCs w:val="24"/>
            </w:rPr>
            <w:instrText xml:space="preserve"> \m Cox15</w:instrText>
          </w:r>
          <w:r w:rsidR="00226309">
            <w:rPr>
              <w:rFonts w:ascii="Arial" w:hAnsi="Arial" w:cs="Arial"/>
              <w:b/>
              <w:bCs/>
              <w:color w:val="000000" w:themeColor="text1"/>
              <w:sz w:val="24"/>
              <w:szCs w:val="24"/>
            </w:rPr>
            <w:instrText xml:space="preserve"> \m San92</w:instrText>
          </w:r>
          <w:r w:rsidR="000522C0">
            <w:rPr>
              <w:rFonts w:ascii="Arial" w:hAnsi="Arial" w:cs="Arial"/>
              <w:b/>
              <w:bCs/>
              <w:color w:val="000000" w:themeColor="text1"/>
              <w:sz w:val="24"/>
              <w:szCs w:val="24"/>
            </w:rPr>
            <w:fldChar w:fldCharType="separate"/>
          </w:r>
          <w:r w:rsidR="00226309" w:rsidRPr="00226309">
            <w:rPr>
              <w:rFonts w:ascii="Arial" w:hAnsi="Arial" w:cs="Arial"/>
              <w:noProof/>
              <w:color w:val="000000" w:themeColor="text1"/>
              <w:sz w:val="24"/>
              <w:szCs w:val="24"/>
            </w:rPr>
            <w:t>(Cartilla, ¿Cómo prevenir y abordar, 2018; Cox y Castillo, 2015; Moroto, 1992)</w:t>
          </w:r>
          <w:r w:rsidR="000522C0">
            <w:rPr>
              <w:rFonts w:ascii="Arial" w:hAnsi="Arial" w:cs="Arial"/>
              <w:b/>
              <w:bCs/>
              <w:color w:val="000000" w:themeColor="text1"/>
              <w:sz w:val="24"/>
              <w:szCs w:val="24"/>
            </w:rPr>
            <w:fldChar w:fldCharType="end"/>
          </w:r>
        </w:sdtContent>
      </w:sdt>
    </w:p>
    <w:sectPr w:rsidR="0095596C" w:rsidRPr="0095596C" w:rsidSect="00A40F84">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87C"/>
    <w:multiLevelType w:val="multilevel"/>
    <w:tmpl w:val="5C9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32520"/>
    <w:multiLevelType w:val="hybridMultilevel"/>
    <w:tmpl w:val="2200B55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4" w15:restartNumberingAfterBreak="0">
    <w:nsid w:val="2D235362"/>
    <w:multiLevelType w:val="multilevel"/>
    <w:tmpl w:val="387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D65BC"/>
    <w:multiLevelType w:val="multilevel"/>
    <w:tmpl w:val="57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A76F7"/>
    <w:multiLevelType w:val="hybridMultilevel"/>
    <w:tmpl w:val="5916165A"/>
    <w:lvl w:ilvl="0" w:tplc="F3CEA632">
      <w:start w:val="1"/>
      <w:numFmt w:val="decimal"/>
      <w:lvlText w:val="%1."/>
      <w:lvlJc w:val="left"/>
      <w:pPr>
        <w:ind w:left="644" w:hanging="360"/>
      </w:pPr>
      <w:rPr>
        <w:rFonts w:ascii="Segoe UI" w:hAnsi="Segoe UI" w:cs="Segoe UI" w:hint="default"/>
        <w:color w:val="0D0D0D"/>
        <w:sz w:val="22"/>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8"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72DD59B1"/>
    <w:multiLevelType w:val="multilevel"/>
    <w:tmpl w:val="3F5C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3"/>
  </w:num>
  <w:num w:numId="4">
    <w:abstractNumId w:val="5"/>
  </w:num>
  <w:num w:numId="5">
    <w:abstractNumId w:val="6"/>
  </w:num>
  <w:num w:numId="6">
    <w:abstractNumId w:val="0"/>
  </w:num>
  <w:num w:numId="7">
    <w:abstractNumId w:val="4"/>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03D9E"/>
    <w:rsid w:val="000365E9"/>
    <w:rsid w:val="000522C0"/>
    <w:rsid w:val="000626AB"/>
    <w:rsid w:val="00072884"/>
    <w:rsid w:val="00077ECB"/>
    <w:rsid w:val="00085A8E"/>
    <w:rsid w:val="000C29A2"/>
    <w:rsid w:val="000C4B0A"/>
    <w:rsid w:val="000F0C64"/>
    <w:rsid w:val="001104E9"/>
    <w:rsid w:val="001170CF"/>
    <w:rsid w:val="00117447"/>
    <w:rsid w:val="00122CB6"/>
    <w:rsid w:val="00127BE4"/>
    <w:rsid w:val="00172EC8"/>
    <w:rsid w:val="001B5F05"/>
    <w:rsid w:val="001C2118"/>
    <w:rsid w:val="001F576A"/>
    <w:rsid w:val="00217CF4"/>
    <w:rsid w:val="00226309"/>
    <w:rsid w:val="00232F08"/>
    <w:rsid w:val="00287F4B"/>
    <w:rsid w:val="00290E75"/>
    <w:rsid w:val="00292ED3"/>
    <w:rsid w:val="00293914"/>
    <w:rsid w:val="002A5026"/>
    <w:rsid w:val="002E007F"/>
    <w:rsid w:val="002F3A54"/>
    <w:rsid w:val="00315739"/>
    <w:rsid w:val="00347ACC"/>
    <w:rsid w:val="00373473"/>
    <w:rsid w:val="003964DA"/>
    <w:rsid w:val="00397338"/>
    <w:rsid w:val="003B0100"/>
    <w:rsid w:val="003B4EE4"/>
    <w:rsid w:val="003C461D"/>
    <w:rsid w:val="003D6681"/>
    <w:rsid w:val="003F0DCC"/>
    <w:rsid w:val="003F2E5D"/>
    <w:rsid w:val="004339F2"/>
    <w:rsid w:val="0045189D"/>
    <w:rsid w:val="00460038"/>
    <w:rsid w:val="0046468B"/>
    <w:rsid w:val="0048384F"/>
    <w:rsid w:val="004868DC"/>
    <w:rsid w:val="004933B2"/>
    <w:rsid w:val="00494284"/>
    <w:rsid w:val="004C0116"/>
    <w:rsid w:val="004C7776"/>
    <w:rsid w:val="004E1EC1"/>
    <w:rsid w:val="0052175C"/>
    <w:rsid w:val="00525343"/>
    <w:rsid w:val="00530CBC"/>
    <w:rsid w:val="00533D51"/>
    <w:rsid w:val="00553C50"/>
    <w:rsid w:val="005B4452"/>
    <w:rsid w:val="005B4F21"/>
    <w:rsid w:val="005D28BA"/>
    <w:rsid w:val="005D536B"/>
    <w:rsid w:val="005D6523"/>
    <w:rsid w:val="005E72EC"/>
    <w:rsid w:val="005F0313"/>
    <w:rsid w:val="0060576B"/>
    <w:rsid w:val="00653C87"/>
    <w:rsid w:val="00686962"/>
    <w:rsid w:val="006A74EC"/>
    <w:rsid w:val="006B2FD1"/>
    <w:rsid w:val="006E10FF"/>
    <w:rsid w:val="006E6965"/>
    <w:rsid w:val="006F0C4B"/>
    <w:rsid w:val="006F603A"/>
    <w:rsid w:val="00725A91"/>
    <w:rsid w:val="00726981"/>
    <w:rsid w:val="00734B43"/>
    <w:rsid w:val="00775AA4"/>
    <w:rsid w:val="007E0134"/>
    <w:rsid w:val="007F5268"/>
    <w:rsid w:val="008027F9"/>
    <w:rsid w:val="00816E6D"/>
    <w:rsid w:val="008201EF"/>
    <w:rsid w:val="00831FFA"/>
    <w:rsid w:val="00842240"/>
    <w:rsid w:val="00850F51"/>
    <w:rsid w:val="008527CE"/>
    <w:rsid w:val="00856645"/>
    <w:rsid w:val="00865073"/>
    <w:rsid w:val="008654D9"/>
    <w:rsid w:val="00872EFC"/>
    <w:rsid w:val="008820A8"/>
    <w:rsid w:val="008B711C"/>
    <w:rsid w:val="008E78A0"/>
    <w:rsid w:val="00911AE2"/>
    <w:rsid w:val="00913081"/>
    <w:rsid w:val="00915F3B"/>
    <w:rsid w:val="00954B7F"/>
    <w:rsid w:val="0095596C"/>
    <w:rsid w:val="00957983"/>
    <w:rsid w:val="00960D37"/>
    <w:rsid w:val="009A753B"/>
    <w:rsid w:val="009D1BD8"/>
    <w:rsid w:val="009F1CD4"/>
    <w:rsid w:val="009F3003"/>
    <w:rsid w:val="00A00447"/>
    <w:rsid w:val="00A02839"/>
    <w:rsid w:val="00A0465E"/>
    <w:rsid w:val="00A26308"/>
    <w:rsid w:val="00A31BD4"/>
    <w:rsid w:val="00A40F84"/>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3B17"/>
    <w:rsid w:val="00B85456"/>
    <w:rsid w:val="00BA2A3F"/>
    <w:rsid w:val="00BB30EC"/>
    <w:rsid w:val="00C10865"/>
    <w:rsid w:val="00C1598B"/>
    <w:rsid w:val="00C72792"/>
    <w:rsid w:val="00C81038"/>
    <w:rsid w:val="00C935A9"/>
    <w:rsid w:val="00CB411F"/>
    <w:rsid w:val="00CC04D8"/>
    <w:rsid w:val="00CE1E65"/>
    <w:rsid w:val="00CE5125"/>
    <w:rsid w:val="00CE63AC"/>
    <w:rsid w:val="00CE669D"/>
    <w:rsid w:val="00CF4B4E"/>
    <w:rsid w:val="00CF58DA"/>
    <w:rsid w:val="00D066C6"/>
    <w:rsid w:val="00D11480"/>
    <w:rsid w:val="00D2679C"/>
    <w:rsid w:val="00D438C1"/>
    <w:rsid w:val="00D82059"/>
    <w:rsid w:val="00D92B0C"/>
    <w:rsid w:val="00DA31AD"/>
    <w:rsid w:val="00DB0D05"/>
    <w:rsid w:val="00DB1D6D"/>
    <w:rsid w:val="00DC7735"/>
    <w:rsid w:val="00DD635C"/>
    <w:rsid w:val="00DD7FFC"/>
    <w:rsid w:val="00DE0889"/>
    <w:rsid w:val="00DE7A1D"/>
    <w:rsid w:val="00E1143B"/>
    <w:rsid w:val="00E15A9F"/>
    <w:rsid w:val="00E40671"/>
    <w:rsid w:val="00E471EB"/>
    <w:rsid w:val="00E503AD"/>
    <w:rsid w:val="00E73CC4"/>
    <w:rsid w:val="00E95AF2"/>
    <w:rsid w:val="00E965AA"/>
    <w:rsid w:val="00EC6D8D"/>
    <w:rsid w:val="00EE1422"/>
    <w:rsid w:val="00EE5BDB"/>
    <w:rsid w:val="00EE65D8"/>
    <w:rsid w:val="00EF341B"/>
    <w:rsid w:val="00F00D8C"/>
    <w:rsid w:val="00F10CDB"/>
    <w:rsid w:val="00F71440"/>
    <w:rsid w:val="00F85D4C"/>
    <w:rsid w:val="00FC5F0F"/>
    <w:rsid w:val="00FE00AB"/>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2848703">
      <w:bodyDiv w:val="1"/>
      <w:marLeft w:val="0"/>
      <w:marRight w:val="0"/>
      <w:marTop w:val="0"/>
      <w:marBottom w:val="0"/>
      <w:divBdr>
        <w:top w:val="none" w:sz="0" w:space="0" w:color="auto"/>
        <w:left w:val="none" w:sz="0" w:space="0" w:color="auto"/>
        <w:bottom w:val="none" w:sz="0" w:space="0" w:color="auto"/>
        <w:right w:val="none" w:sz="0" w:space="0" w:color="auto"/>
      </w:divBdr>
      <w:divsChild>
        <w:div w:id="698776711">
          <w:marLeft w:val="0"/>
          <w:marRight w:val="0"/>
          <w:marTop w:val="0"/>
          <w:marBottom w:val="0"/>
          <w:divBdr>
            <w:top w:val="single" w:sz="2" w:space="0" w:color="E3E3E3"/>
            <w:left w:val="single" w:sz="2" w:space="0" w:color="E3E3E3"/>
            <w:bottom w:val="single" w:sz="2" w:space="0" w:color="E3E3E3"/>
            <w:right w:val="single" w:sz="2" w:space="0" w:color="E3E3E3"/>
          </w:divBdr>
        </w:div>
        <w:div w:id="2119794270">
          <w:marLeft w:val="0"/>
          <w:marRight w:val="0"/>
          <w:marTop w:val="0"/>
          <w:marBottom w:val="0"/>
          <w:divBdr>
            <w:top w:val="single" w:sz="2" w:space="0" w:color="E3E3E3"/>
            <w:left w:val="single" w:sz="2" w:space="0" w:color="E3E3E3"/>
            <w:bottom w:val="single" w:sz="2" w:space="0" w:color="E3E3E3"/>
            <w:right w:val="single" w:sz="2" w:space="0" w:color="E3E3E3"/>
          </w:divBdr>
          <w:divsChild>
            <w:div w:id="2067532137">
              <w:marLeft w:val="0"/>
              <w:marRight w:val="0"/>
              <w:marTop w:val="0"/>
              <w:marBottom w:val="0"/>
              <w:divBdr>
                <w:top w:val="single" w:sz="2" w:space="0" w:color="E3E3E3"/>
                <w:left w:val="single" w:sz="2" w:space="0" w:color="E3E3E3"/>
                <w:bottom w:val="single" w:sz="2" w:space="0" w:color="E3E3E3"/>
                <w:right w:val="single" w:sz="2" w:space="0" w:color="E3E3E3"/>
              </w:divBdr>
              <w:divsChild>
                <w:div w:id="10311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287311">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10779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685966">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985673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42907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4799906">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183650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68382670">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8887620">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9298146">
      <w:bodyDiv w:val="1"/>
      <w:marLeft w:val="0"/>
      <w:marRight w:val="0"/>
      <w:marTop w:val="0"/>
      <w:marBottom w:val="0"/>
      <w:divBdr>
        <w:top w:val="none" w:sz="0" w:space="0" w:color="auto"/>
        <w:left w:val="none" w:sz="0" w:space="0" w:color="auto"/>
        <w:bottom w:val="none" w:sz="0" w:space="0" w:color="auto"/>
        <w:right w:val="none" w:sz="0" w:space="0" w:color="auto"/>
      </w:divBdr>
    </w:div>
    <w:div w:id="511602367">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1601590">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674401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3286393">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7732982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89711849">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18374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8079548">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4710232">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69750933">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16732172">
      <w:bodyDiv w:val="1"/>
      <w:marLeft w:val="0"/>
      <w:marRight w:val="0"/>
      <w:marTop w:val="0"/>
      <w:marBottom w:val="0"/>
      <w:divBdr>
        <w:top w:val="none" w:sz="0" w:space="0" w:color="auto"/>
        <w:left w:val="none" w:sz="0" w:space="0" w:color="auto"/>
        <w:bottom w:val="none" w:sz="0" w:space="0" w:color="auto"/>
        <w:right w:val="none" w:sz="0" w:space="0" w:color="auto"/>
      </w:divBdr>
    </w:div>
    <w:div w:id="1018653123">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45830119">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0516744">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4634766">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721872">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6159100">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8633486">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0795649">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2787655">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5551575">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4989168">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1483628">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993125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82825">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548176">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8004557">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571743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073613">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417695">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007031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592511">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2961695">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Jor18</b:Tag>
    <b:SourceType>InternetSite</b:SourceType>
    <b:Guid>{C40E598C-1ED7-462A-ACA0-16EF8D0F56D9}</b:Guid>
    <b:Author>
      <b:Author>
        <b:NameList>
          <b:Person>
            <b:Last>Cartilla</b:Last>
            <b:First>Jorge</b:First>
          </b:Person>
        </b:NameList>
      </b:Author>
    </b:Author>
    <b:Title>¿Cómo prevenir y abordar</b:Title>
    <b:InternetSiteTitle>¿Cómo prevenir y abordar </b:InternetSiteTitle>
    <b:Year>2018</b:Year>
    <b:Month>5</b:Month>
    <b:Day>10</b:Day>
    <b:URL>https://convivenciaparaciudadania.mineduc.cl/wp-content/uploads/2019/10/cartilla_10.pdf</b:URL>
    <b:RefOrder>2</b:RefOrder>
  </b:Source>
  <b:Source>
    <b:Tag>Jor181</b:Tag>
    <b:SourceType>InternetSite</b:SourceType>
    <b:Guid>{FF97A0D6-ADCD-4914-B548-A8F92BBA31CD}</b:Guid>
    <b:Author>
      <b:Author>
        <b:NameList>
          <b:Person>
            <b:Last>Cartilla</b:Last>
            <b:First>Jorge</b:First>
          </b:Person>
        </b:NameList>
      </b:Author>
    </b:Author>
    <b:Title>¿Cómo prevenir y abordar</b:Title>
    <b:InternetSiteTitle>¿Cómo prevenir y abordar</b:InternetSiteTitle>
    <b:Year>2018</b:Year>
    <b:Month>5</b:Month>
    <b:Day>10</b:Day>
    <b:URL>https://convivenciaparaciudadania.mineduc.cl/wp-content/uploads/2019/10/cartilla_10.pdf</b:URL>
    <b:RefOrder>3</b:RefOrder>
  </b:Source>
  <b:Source>
    <b:Tag>Cox15</b:Tag>
    <b:SourceType>InternetSite</b:SourceType>
    <b:Guid>{BE936DF4-93EA-4FCB-891F-AA4A8011D0F1}</b:Guid>
    <b:Author>
      <b:Author>
        <b:Corporate>Cox y Castillo</b:Corporate>
      </b:Author>
    </b:Author>
    <b:Title>https://www.redalyc.org/journal/2431/243170668008/html/</b:Title>
    <b:InternetSiteTitle>https://www.redalyc.org/journal/2431/243170668008/html/</b:InternetSiteTitle>
    <b:Year>2015</b:Year>
    <b:URL>https://www.redalyc.org/journal/2431/243170668008/html/</b:URL>
    <b:RefOrder>4</b:RefOrder>
  </b:Source>
  <b:Source>
    <b:Tag>San92</b:Tag>
    <b:SourceType>InternetSite</b:SourceType>
    <b:Guid>{8E56DF6B-A655-4D13-B2B9-E7D69720BC1F}</b:Guid>
    <b:Author>
      <b:Author>
        <b:NameList>
          <b:Person>
            <b:Last>Moroto</b:Last>
            <b:First>San</b:First>
            <b:Middle>Fabian</b:Middle>
          </b:Person>
        </b:NameList>
      </b:Author>
    </b:Author>
    <b:Title>Liderazgo y participación en escuelas públicas</b:Title>
    <b:InternetSiteTitle>Liderazgo y participación en escuelas públicas</b:InternetSiteTitle>
    <b:Year>1992</b:Year>
    <b:URL>https://www.redalyc.org/journal/2431/243170668008/html/</b:URL>
    <b:RefOrder>5</b:RefOrder>
  </b:Source>
</b:Sources>
</file>

<file path=customXml/itemProps1.xml><?xml version="1.0" encoding="utf-8"?>
<ds:datastoreItem xmlns:ds="http://schemas.openxmlformats.org/officeDocument/2006/customXml" ds:itemID="{DE90DD1B-0675-4636-8A8A-5EA613D98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12</Pages>
  <Words>2885</Words>
  <Characters>15868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101</cp:revision>
  <cp:lastPrinted>2015-03-25T16:04:00Z</cp:lastPrinted>
  <dcterms:created xsi:type="dcterms:W3CDTF">2024-04-03T23:04:00Z</dcterms:created>
  <dcterms:modified xsi:type="dcterms:W3CDTF">2024-04-22T01:24:00Z</dcterms:modified>
</cp:coreProperties>
</file>