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F04F37">
        <w:rPr>
          <w:sz w:val="24"/>
          <w:szCs w:val="24"/>
          <w:lang w:val="hr-HR"/>
        </w:rPr>
        <w:t>nelokalnih</w:t>
      </w:r>
      <w:proofErr w:type="spellEnd"/>
      <w:r w:rsidRPr="00F04F37">
        <w:rPr>
          <w:sz w:val="24"/>
          <w:szCs w:val="24"/>
          <w:lang w:val="hr-HR"/>
        </w:rPr>
        <w:t xml:space="preserve">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međukôd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Odznači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Odznači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Odznači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(ne želim odgovoriti)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</w:t>
      </w:r>
      <w:proofErr w:type="spellStart"/>
      <w:r w:rsidRPr="00F04F37">
        <w:rPr>
          <w:rFonts w:cstheme="minorHAnsi"/>
          <w:sz w:val="24"/>
          <w:szCs w:val="24"/>
          <w:lang w:val="hr-HR"/>
        </w:rPr>
        <w:t>a|b</w:t>
      </w:r>
      <w:proofErr w:type="spellEnd"/>
      <w:r w:rsidRPr="00F04F37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unazadnih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t.d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Kod1=Generiraj(kod2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1EA73B73" w:rsidR="003D0AC8" w:rsidRPr="00F04F37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0380E1BD" w:rsidR="003D0AC8" w:rsidRPr="00F04F37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, generiraj naredbe ciljnog programa i stavi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rezultirajući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2A6FA9ED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lastRenderedPageBreak/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3522E7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 ako</w:t>
      </w:r>
    </w:p>
    <w:p w14:paraId="253CBD15" w14:textId="602250BC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3B9999DD" w:rsidR="003F3BD3" w:rsidRPr="00F04F37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F04F37">
        <w:rPr>
          <w:rFonts w:eastAsiaTheme="minorEastAsia"/>
          <w:sz w:val="24"/>
          <w:szCs w:val="24"/>
        </w:rPr>
        <w:t>Brojevne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konstante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koje</w:t>
      </w:r>
      <w:proofErr w:type="spellEnd"/>
      <w:r w:rsidRPr="00F04F37">
        <w:rPr>
          <w:rFonts w:eastAsiaTheme="minorEastAsia"/>
          <w:sz w:val="24"/>
          <w:szCs w:val="24"/>
        </w:rPr>
        <w:t xml:space="preserve"> se </w:t>
      </w:r>
      <w:proofErr w:type="spellStart"/>
      <w:r w:rsidRPr="00F04F37">
        <w:rPr>
          <w:rFonts w:eastAsiaTheme="minorEastAsia"/>
          <w:sz w:val="24"/>
          <w:szCs w:val="24"/>
        </w:rPr>
        <w:t>zapisuju</w:t>
      </w:r>
      <w:proofErr w:type="spellEnd"/>
      <w:r w:rsidRPr="00F04F37">
        <w:rPr>
          <w:rFonts w:eastAsiaTheme="minorEastAsia"/>
          <w:sz w:val="24"/>
          <w:szCs w:val="24"/>
        </w:rPr>
        <w:t xml:space="preserve"> u </w:t>
      </w:r>
      <w:proofErr w:type="spellStart"/>
      <w:r w:rsidRPr="00F04F37">
        <w:rPr>
          <w:rFonts w:eastAsiaTheme="minorEastAsia"/>
          <w:sz w:val="24"/>
          <w:szCs w:val="24"/>
        </w:rPr>
        <w:t>oktalnoj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F04F37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6861" w14:textId="77777777" w:rsidR="005F3EEE" w:rsidRDefault="005F3EEE" w:rsidP="00980908">
      <w:pPr>
        <w:spacing w:after="0" w:line="240" w:lineRule="auto"/>
      </w:pPr>
      <w:r>
        <w:separator/>
      </w:r>
    </w:p>
  </w:endnote>
  <w:endnote w:type="continuationSeparator" w:id="0">
    <w:p w14:paraId="1396F8AE" w14:textId="77777777" w:rsidR="005F3EEE" w:rsidRDefault="005F3EEE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3ED2" w14:textId="77777777" w:rsidR="005F3EEE" w:rsidRDefault="005F3EEE" w:rsidP="00980908">
      <w:pPr>
        <w:spacing w:after="0" w:line="240" w:lineRule="auto"/>
      </w:pPr>
      <w:r>
        <w:separator/>
      </w:r>
    </w:p>
  </w:footnote>
  <w:footnote w:type="continuationSeparator" w:id="0">
    <w:p w14:paraId="4FA94213" w14:textId="77777777" w:rsidR="005F3EEE" w:rsidRDefault="005F3EEE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A4C76"/>
    <w:rsid w:val="001B2CE1"/>
    <w:rsid w:val="001C5367"/>
    <w:rsid w:val="001D2BC0"/>
    <w:rsid w:val="001E57A4"/>
    <w:rsid w:val="001E63CC"/>
    <w:rsid w:val="0020304D"/>
    <w:rsid w:val="00204B20"/>
    <w:rsid w:val="00215804"/>
    <w:rsid w:val="0021690B"/>
    <w:rsid w:val="00230B35"/>
    <w:rsid w:val="00252186"/>
    <w:rsid w:val="002732C6"/>
    <w:rsid w:val="00296E76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5F3EEE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1A15"/>
    <w:rsid w:val="00D04FF0"/>
    <w:rsid w:val="00D31FAC"/>
    <w:rsid w:val="00D32578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4B02"/>
    <w:rsid w:val="00F25D38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2774</Words>
  <Characters>15815</Characters>
  <Application>Microsoft Office Word</Application>
  <DocSecurity>0</DocSecurity>
  <Lines>131</Lines>
  <Paragraphs>37</Paragraphs>
  <ScaleCrop>false</ScaleCrop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2023-01-29T00:03:00Z</dcterms:modified>
</cp:coreProperties>
</file>