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Weekly dengue data refresh</w:t>
      </w:r>
    </w:p>
    <w:p>
      <w:pPr>
        <w:pStyle w:val="Subtitle"/>
      </w:pPr>
      <w:r>
        <w:t xml:space="preserve">Standard operating procedure — Dengue Situation Dashboard, CHAI Cambodia</w:t>
      </w:r>
    </w:p>
    <w:tbl>
      <w:tblPr>
        <w:tblStyle w:val="TableGrid"/>
        <w:tblW w:w="9240" w:type="dxa"/>
        <w:tblLook w:val="04A0" w:firstRow="1" w:lastRow="0" w:firstColumn="1" w:lastColumn="0" w:noHBand="0" w:noVBand="1"/>
      </w:tblPr>
      <w:tblGrid>
        <w:gridCol w:w="2600"/>
        <w:gridCol w:w="6640"/>
      </w:tblGrid>
      <w:tr>
        <w:trPr>
          <w:tblHeader/>
          <w:cantSplit/>
        </w:trPr>
        <w:tc>
          <w:tcPr>
            <w:tcW w:w="2600" w:type="dxa"/>
          </w:tcPr>
          <w:p>
            <w:pPr>
              <w:pStyle w:val="Normal"/>
            </w:pPr>
            <w:r>
              <w:rPr>
                <w:b/>
              </w:rPr>
              <w:t xml:space="preserve">Field</w:t>
            </w:r>
          </w:p>
        </w:tc>
        <w:tc>
          <w:tcPr>
            <w:tcW w:w="6640" w:type="dxa"/>
          </w:tcPr>
          <w:p>
            <w:pPr>
              <w:pStyle w:val="Normal"/>
            </w:pPr>
            <w:r>
              <w:rPr>
                <w:b/>
              </w:rPr>
              <w:t xml:space="preserve">Detail</w:t>
            </w:r>
          </w:p>
        </w:tc>
      </w:tr>
      <w:tr>
        <w:trPr>
          <w:cantSplit/>
        </w:trPr>
        <w:tc>
          <w:tcPr>
            <w:tcW w:w="2600" w:type="dxa"/>
          </w:tcPr>
          <w:p>
            <w:pPr>
              <w:pStyle w:val="Normal"/>
            </w:pPr>
            <w:r>
              <w:t xml:space="preserve">Frequency</w:t>
            </w:r>
          </w:p>
        </w:tc>
        <w:tc>
          <w:tcPr>
            <w:tcW w:w="6640" w:type="dxa"/>
          </w:tcPr>
          <w:p>
            <w:pPr>
              <w:pStyle w:val="Normal"/>
            </w:pPr>
            <w:r>
              <w:t xml:space="preserve">Weekly</w:t>
            </w:r>
          </w:p>
        </w:tc>
      </w:tr>
      <w:tr>
        <w:trPr>
          <w:cantSplit/>
        </w:trPr>
        <w:tc>
          <w:tcPr>
            <w:tcW w:w="2600" w:type="dxa"/>
          </w:tcPr>
          <w:p>
            <w:pPr>
              <w:pStyle w:val="Normal"/>
            </w:pPr>
            <w:r>
              <w:t xml:space="preserve">Time needed</w:t>
            </w:r>
          </w:p>
        </w:tc>
        <w:tc>
          <w:tcPr>
            <w:tcW w:w="6640" w:type="dxa"/>
          </w:tcPr>
          <w:p>
            <w:pPr>
              <w:pStyle w:val="Normal"/>
            </w:pPr>
            <w:r>
              <w:t xml:space="preserve">10–15 minutes</w:t>
            </w:r>
          </w:p>
        </w:tc>
      </w:tr>
      <w:tr>
        <w:trPr>
          <w:cantSplit/>
        </w:trPr>
        <w:tc>
          <w:tcPr>
            <w:tcW w:w="2600" w:type="dxa"/>
          </w:tcPr>
          <w:p>
            <w:pPr>
              <w:pStyle w:val="Normal"/>
            </w:pPr>
            <w:r>
              <w:t xml:space="preserve">Skills required</w:t>
            </w:r>
          </w:p>
        </w:tc>
        <w:tc>
          <w:tcPr>
            <w:tcW w:w="6640" w:type="dxa"/>
          </w:tcPr>
          <w:p>
            <w:pPr>
              <w:pStyle w:val="Normal"/>
            </w:pPr>
            <w:r>
              <w:t xml:space="preserve">Excel, and a web browser</w:t>
            </w:r>
          </w:p>
        </w:tc>
      </w:tr>
      <w:tr>
        <w:trPr>
          <w:cantSplit/>
        </w:trPr>
        <w:tc>
          <w:tcPr>
            <w:tcW w:w="2600" w:type="dxa"/>
          </w:tcPr>
          <w:p>
            <w:pPr>
              <w:pStyle w:val="Normal"/>
            </w:pPr>
            <w:r>
              <w:t xml:space="preserve">Last reviewed</w:t>
            </w:r>
          </w:p>
        </w:tc>
        <w:tc>
          <w:tcPr>
            <w:tcW w:w="6640" w:type="dxa"/>
          </w:tcPr>
          <w:p>
            <w:pPr>
              <w:pStyle w:val="Normal"/>
            </w:pPr>
            <w:r>
              <w:t xml:space="preserve">August 27, 2026</w:t>
            </w:r>
          </w:p>
        </w:tc>
      </w:tr>
    </w:tbl>
    <w:p>
      <w:pPr>
        <w:pStyle w:val="Normal"/>
      </w:pPr>
    </w:p>
    <w:p>
      <w:pPr>
        <w:pStyle w:val="Heading1"/>
      </w:pPr>
      <w:r>
        <w:t xml:space="preserve">What this is</w:t>
      </w:r>
    </w:p>
    <w:p>
      <w:pPr>
        <w:pStyle w:val="Normal"/>
      </w:pPr>
      <w:r>
        <w:t xml:space="preserve">The dashboard has two halves. The </w:t>
      </w:r>
      <w:r>
        <w:rPr>
          <w:b/>
        </w:rPr>
        <w:t xml:space="preserve">Cambodia tab</w:t>
      </w:r>
      <w:r>
        <w:t xml:space="preserve"> shows national dengue hemorrhagic fever surveillance by province, and is built from an Excel workbook you maintain. The </w:t>
      </w:r>
      <w:r>
        <w:rPr>
          <w:b/>
        </w:rPr>
        <w:t xml:space="preserve">Global Context tab</w:t>
      </w:r>
      <w:r>
        <w:t xml:space="preserve"> shows how Cambodia compares with other countries, and is downloaded automatically from the World Health Organization (WHO).</w:t>
      </w:r>
    </w:p>
    <w:p>
      <w:pPr>
        <w:pStyle w:val="Normal"/>
      </w:pPr>
      <w:r>
        <w:t xml:space="preserve">Your weekly job is only the first half: type the new numbers into Excel, run one file, and upload the result. Everything else is automatic.</w:t>
      </w:r>
    </w:p>
    <w:p>
      <w:pPr>
        <w:pStyle w:val="IntenseQuote"/>
      </w:pPr>
      <w:r>
        <w:t xml:space="preserve">You are never editing the website. You edit a spreadsheet, a script turns it into a data file, and you upload that data file. The website itself (index.html) stays untouched week after week.</w:t>
      </w:r>
    </w:p>
    <w:p>
      <w:pPr>
        <w:pStyle w:val="Heading1"/>
      </w:pPr>
      <w:r>
        <w:t xml:space="preserve">Before your first run only</w:t>
      </w:r>
    </w:p>
    <w:p>
      <w:pPr>
        <w:pStyle w:val="Normal"/>
      </w:pPr>
      <w:r>
        <w:t xml:space="preserve">Check these once. You will not need to repeat them.</w:t>
      </w:r>
    </w:p>
    <w:p>
      <w:pPr>
        <w:pStyle w:val="ListParagraph"/>
        <w:numPr>
          <w:ilvl w:val="0"/>
          <w:numId w:val="5"/>
        </w:numPr>
      </w:pPr>
      <w:r>
        <w:rPr>
          <w:b/>
        </w:rPr>
        <w:t xml:space="preserve">Python is installed.</w:t>
      </w:r>
      <w:r>
        <w:t xml:space="preserve"> The update script needs it. If double-clicking the update file makes the Microsoft Store open, Python is not properly installed — get it from www.python.org and select “Add Python to PATH” during setup.</w:t>
      </w:r>
    </w:p>
    <w:p>
      <w:pPr>
        <w:pStyle w:val="ListParagraph"/>
        <w:numPr>
          <w:ilvl w:val="0"/>
          <w:numId w:val="5"/>
        </w:numPr>
      </w:pPr>
      <w:r>
        <w:rPr>
          <w:b/>
        </w:rPr>
        <w:t xml:space="preserve">You can sign in to the GitHub repository</w:t>
      </w:r>
      <w:r>
        <w:t xml:space="preserve"> that hosts the site, and you have permission to commit to it.</w:t>
      </w:r>
    </w:p>
    <w:p>
      <w:pPr>
        <w:pStyle w:val="ListParagraph"/>
        <w:numPr>
          <w:ilvl w:val="0"/>
          <w:numId w:val="5"/>
        </w:numPr>
      </w:pPr>
      <w:r>
        <w:rPr>
          <w:b/>
        </w:rPr>
        <w:t xml:space="preserve">You know the live web address</w:t>
      </w:r>
      <w:r>
        <w:t xml:space="preserve">, so you can confirm your change appeared.</w:t>
      </w:r>
    </w:p>
    <w:p>
      <w:pPr>
        <w:pStyle w:val="ListParagraph"/>
        <w:numPr>
          <w:ilvl w:val="0"/>
          <w:numId w:val="5"/>
        </w:numPr>
      </w:pPr>
      <w:r>
        <w:rPr>
          <w:b/>
        </w:rPr>
        <w:t xml:space="preserve">You have the project folder</w:t>
      </w:r>
      <w:r>
        <w:t xml:space="preserve"> containing Dengue_Master_Data_Entry.xlsx and UPDATE-DASHBOARD.bat.</w:t>
      </w:r>
    </w:p>
    <w:p>
      <w:pPr>
        <w:pStyle w:val="Heading1"/>
      </w:pPr>
      <w:r>
        <w:t xml:space="preserve">The weekly procedure</w:t>
      </w:r>
    </w:p>
    <w:p>
      <w:pPr>
        <w:pStyle w:val="Heading2"/>
      </w:pPr>
      <w:r>
        <w:t xml:space="preserve">Step 1: Enter the week’s numbers in Excel</w:t>
      </w:r>
    </w:p>
    <w:p>
      <w:pPr>
        <w:pStyle w:val="Normal"/>
      </w:pPr>
      <w:r>
        <w:t xml:space="preserve">Open Dengue_Master_Data_Entry.xlsx and go to the </w:t>
      </w:r>
      <w:r>
        <w:rPr>
          <w:b/>
        </w:rPr>
        <w:t xml:space="preserve">National_Monthly_Entry</w:t>
      </w:r>
      <w:r>
        <w:t xml:space="preserve"> sheet. Scroll to the bottom of the data and add one new row per province for the reporting month.</w:t>
      </w:r>
    </w:p>
    <w:p>
      <w:pPr>
        <w:pStyle w:val="Normal"/>
      </w:pPr>
      <w:r>
        <w:t xml:space="preserve">Fill in </w:t>
      </w:r>
      <w:r>
        <w:rPr>
          <w:b/>
        </w:rPr>
        <w:t xml:space="preserve">only the first five columns</w:t>
      </w:r>
      <w:r>
        <w:t xml:space="preserve">. The rest calculate themselves.</w:t>
      </w:r>
    </w:p>
    <w:tbl>
      <w:tblPr>
        <w:tblStyle w:val="TableGrid"/>
        <w:tblW w:w="9240" w:type="dxa"/>
        <w:tblLook w:val="04A0" w:firstRow="1" w:lastRow="0" w:firstColumn="1" w:lastColumn="0" w:noHBand="0" w:noVBand="1"/>
      </w:tblPr>
      <w:tblGrid>
        <w:gridCol w:w="1100"/>
        <w:gridCol w:w="2200"/>
        <w:gridCol w:w="5940"/>
      </w:tblGrid>
      <w:tr>
        <w:trPr>
          <w:tblHeader/>
          <w:cantSplit/>
        </w:trPr>
        <w:tc>
          <w:tcPr>
            <w:tcW w:w="1100" w:type="dxa"/>
          </w:tcPr>
          <w:p>
            <w:pPr>
              <w:pStyle w:val="Normal"/>
            </w:pPr>
            <w:r>
              <w:rPr>
                <w:b/>
              </w:rPr>
              <w:t xml:space="preserve">Column</w:t>
            </w:r>
          </w:p>
        </w:tc>
        <w:tc>
          <w:tcPr>
            <w:tcW w:w="2200" w:type="dxa"/>
          </w:tcPr>
          <w:p>
            <w:pPr>
              <w:pStyle w:val="Normal"/>
            </w:pPr>
            <w:r>
              <w:rPr>
                <w:b/>
              </w:rPr>
              <w:t xml:space="preserve">Heading</w:t>
            </w:r>
          </w:p>
        </w:tc>
        <w:tc>
          <w:tcPr>
            <w:tcW w:w="5940" w:type="dxa"/>
          </w:tcPr>
          <w:p>
            <w:pPr>
              <w:pStyle w:val="Normal"/>
            </w:pPr>
            <w:r>
              <w:rPr>
                <w:b/>
              </w:rPr>
              <w:t xml:space="preserve">What to type</w:t>
            </w:r>
          </w:p>
        </w:tc>
      </w:tr>
      <w:tr>
        <w:trPr>
          <w:cantSplit/>
        </w:trPr>
        <w:tc>
          <w:tcPr>
            <w:tcW w:w="1100" w:type="dxa"/>
          </w:tcPr>
          <w:p>
            <w:pPr>
              <w:pStyle w:val="Normal"/>
            </w:pPr>
            <w:r>
              <w:t xml:space="preserve">A</w:t>
            </w:r>
          </w:p>
        </w:tc>
        <w:tc>
          <w:tcPr>
            <w:tcW w:w="2200" w:type="dxa"/>
          </w:tcPr>
          <w:p>
            <w:pPr>
              <w:pStyle w:val="Normal"/>
            </w:pPr>
            <w:r>
              <w:t xml:space="preserve">Province</w:t>
            </w:r>
          </w:p>
        </w:tc>
        <w:tc>
          <w:tcPr>
            <w:tcW w:w="5940" w:type="dxa"/>
          </w:tcPr>
          <w:p>
            <w:pPr>
              <w:pStyle w:val="Normal"/>
            </w:pPr>
            <w:r>
              <w:t xml:space="preserve">Must match the spelling in the Lookup_Lists sheet exactly</w:t>
            </w:r>
          </w:p>
        </w:tc>
      </w:tr>
      <w:tr>
        <w:trPr>
          <w:cantSplit/>
        </w:trPr>
        <w:tc>
          <w:tcPr>
            <w:tcW w:w="1100" w:type="dxa"/>
          </w:tcPr>
          <w:p>
            <w:pPr>
              <w:pStyle w:val="Normal"/>
            </w:pPr>
            <w:r>
              <w:t xml:space="preserve">B</w:t>
            </w:r>
          </w:p>
        </w:tc>
        <w:tc>
          <w:tcPr>
            <w:tcW w:w="2200" w:type="dxa"/>
          </w:tcPr>
          <w:p>
            <w:pPr>
              <w:pStyle w:val="Normal"/>
            </w:pPr>
            <w:r>
              <w:t xml:space="preserve">Year</w:t>
            </w:r>
          </w:p>
        </w:tc>
        <w:tc>
          <w:tcPr>
            <w:tcW w:w="5940" w:type="dxa"/>
          </w:tcPr>
          <w:p>
            <w:pPr>
              <w:pStyle w:val="Normal"/>
            </w:pPr>
            <w:r>
              <w:t xml:space="preserve">Four digits, for example 2026</w:t>
            </w:r>
          </w:p>
        </w:tc>
      </w:tr>
      <w:tr>
        <w:trPr>
          <w:cantSplit/>
        </w:trPr>
        <w:tc>
          <w:tcPr>
            <w:tcW w:w="1100" w:type="dxa"/>
          </w:tcPr>
          <w:p>
            <w:pPr>
              <w:pStyle w:val="Normal"/>
            </w:pPr>
            <w:r>
              <w:t xml:space="preserve">C</w:t>
            </w:r>
          </w:p>
        </w:tc>
        <w:tc>
          <w:tcPr>
            <w:tcW w:w="2200" w:type="dxa"/>
          </w:tcPr>
          <w:p>
            <w:pPr>
              <w:pStyle w:val="Normal"/>
            </w:pPr>
            <w:r>
              <w:t xml:space="preserve">Month</w:t>
            </w:r>
          </w:p>
        </w:tc>
        <w:tc>
          <w:tcPr>
            <w:tcW w:w="5940" w:type="dxa"/>
          </w:tcPr>
          <w:p>
            <w:pPr>
              <w:pStyle w:val="Normal"/>
            </w:pPr>
            <w:r>
              <w:t xml:space="preserve">Three letters, for example Aug</w:t>
            </w:r>
          </w:p>
        </w:tc>
      </w:tr>
      <w:tr>
        <w:trPr>
          <w:cantSplit/>
        </w:trPr>
        <w:tc>
          <w:tcPr>
            <w:tcW w:w="1100" w:type="dxa"/>
          </w:tcPr>
          <w:p>
            <w:pPr>
              <w:pStyle w:val="Normal"/>
            </w:pPr>
            <w:r>
              <w:t xml:space="preserve">D</w:t>
            </w:r>
          </w:p>
        </w:tc>
        <w:tc>
          <w:tcPr>
            <w:tcW w:w="2200" w:type="dxa"/>
          </w:tcPr>
          <w:p>
            <w:pPr>
              <w:pStyle w:val="Normal"/>
            </w:pPr>
            <w:r>
              <w:t xml:space="preserve">Cases</w:t>
            </w:r>
          </w:p>
        </w:tc>
        <w:tc>
          <w:tcPr>
            <w:tcW w:w="5940" w:type="dxa"/>
          </w:tcPr>
          <w:p>
            <w:pPr>
              <w:pStyle w:val="Normal"/>
            </w:pPr>
            <w:r>
              <w:t xml:space="preserve">Number of cases that month</w:t>
            </w:r>
          </w:p>
        </w:tc>
      </w:tr>
      <w:tr>
        <w:trPr>
          <w:cantSplit/>
        </w:trPr>
        <w:tc>
          <w:tcPr>
            <w:tcW w:w="1100" w:type="dxa"/>
          </w:tcPr>
          <w:p>
            <w:pPr>
              <w:pStyle w:val="Normal"/>
            </w:pPr>
            <w:r>
              <w:t xml:space="preserve">E</w:t>
            </w:r>
          </w:p>
        </w:tc>
        <w:tc>
          <w:tcPr>
            <w:tcW w:w="2200" w:type="dxa"/>
          </w:tcPr>
          <w:p>
            <w:pPr>
              <w:pStyle w:val="Normal"/>
            </w:pPr>
            <w:r>
              <w:t xml:space="preserve">Deaths</w:t>
            </w:r>
          </w:p>
        </w:tc>
        <w:tc>
          <w:tcPr>
            <w:tcW w:w="5940" w:type="dxa"/>
          </w:tcPr>
          <w:p>
            <w:pPr>
              <w:pStyle w:val="Normal"/>
            </w:pPr>
            <w:r>
              <w:t xml:space="preserve">Number of deaths that month</w:t>
            </w:r>
          </w:p>
        </w:tc>
      </w:tr>
      <w:tr>
        <w:trPr>
          <w:cantSplit/>
        </w:trPr>
        <w:tc>
          <w:tcPr>
            <w:tcW w:w="1100" w:type="dxa"/>
          </w:tcPr>
          <w:p>
            <w:pPr>
              <w:pStyle w:val="Normal"/>
            </w:pPr>
            <w:r>
              <w:t xml:space="preserve">F–H</w:t>
            </w:r>
          </w:p>
        </w:tc>
        <w:tc>
          <w:tcPr>
            <w:tcW w:w="2200" w:type="dxa"/>
          </w:tcPr>
          <w:p>
            <w:pPr>
              <w:pStyle w:val="Normal"/>
            </w:pPr>
            <w:r>
              <w:t xml:space="preserve">CFR, Population, IR</w:t>
            </w:r>
          </w:p>
        </w:tc>
        <w:tc>
          <w:tcPr>
            <w:tcW w:w="5940" w:type="dxa"/>
          </w:tcPr>
          <w:p>
            <w:pPr>
              <w:pStyle w:val="Normal"/>
            </w:pPr>
            <w:r>
              <w:t xml:space="preserve">Leave alone — these fill in automatically</w:t>
            </w:r>
          </w:p>
        </w:tc>
      </w:tr>
    </w:tbl>
    <w:p>
      <w:pPr>
        <w:pStyle w:val="Normal"/>
      </w:pPr>
    </w:p>
    <w:p>
      <w:pPr>
        <w:pStyle w:val="IntenseQuote"/>
      </w:pPr>
      <w:r>
        <w:t xml:space="preserve">Province names must match exactly. A typo such as “Kandal ” with a trailing space creates a silent new province that will never appear on the map. Copy the name from Lookup_Lists rather than typing it.</w:t>
      </w:r>
    </w:p>
    <w:p>
      <w:pPr>
        <w:pStyle w:val="Heading2"/>
      </w:pPr>
      <w:r>
        <w:t xml:space="preserve">Step 2: Run the QA check inside the workbook</w:t>
      </w:r>
    </w:p>
    <w:p>
      <w:pPr>
        <w:pStyle w:val="Normal"/>
      </w:pPr>
      <w:r>
        <w:t xml:space="preserve">Open the </w:t>
      </w:r>
      <w:r>
        <w:rPr>
          <w:b/>
        </w:rPr>
        <w:t xml:space="preserve">QA_Checklist</w:t>
      </w:r>
      <w:r>
        <w:t xml:space="preserve"> sheet. It runs eight automatic checks against what you just entered — missing values, deaths higher than cases, duplicate province-month rows, populations that failed to link, and implausible fatality rates.</w:t>
      </w:r>
    </w:p>
    <w:p>
      <w:pPr>
        <w:pStyle w:val="Normal"/>
      </w:pPr>
      <w:r>
        <w:t xml:space="preserve">Fix anything it flags before moving on. Then save and close the workbook.</w:t>
      </w:r>
    </w:p>
    <w:p>
      <w:pPr>
        <w:pStyle w:val="Normal"/>
      </w:pPr>
      <w:r>
        <w:t xml:space="preserve">Closing matters: the update script reads the saved file from disk. If Excel still has unsaved changes, the script will quietly use last week’s numbers and will not warn you.</w:t>
      </w:r>
    </w:p>
    <w:p>
      <w:pPr>
        <w:pStyle w:val="Heading2"/>
      </w:pPr>
      <w:r>
        <w:t xml:space="preserve">Step 3: Run UPDATE-DASHBOARD.bat</w:t>
      </w:r>
    </w:p>
    <w:p>
      <w:pPr>
        <w:pStyle w:val="Normal"/>
      </w:pPr>
      <w:r>
        <w:t xml:space="preserve">Double-click </w:t>
      </w:r>
      <w:r>
        <w:rPr>
          <w:b/>
        </w:rPr>
        <w:t xml:space="preserve">UPDATE-DASHBOARD.bat</w:t>
      </w:r>
      <w:r>
        <w:t xml:space="preserve">. A black window opens and works through two steps: your national data first, then the WHO global download. Let it finish — it takes under a minute.</w:t>
      </w:r>
    </w:p>
    <w:p>
      <w:pPr>
        <w:pStyle w:val="Normal"/>
      </w:pPr>
      <w:r>
        <w:t xml:space="preserve">Read the last few lines. There are two possible endings, and both are fine.</w:t>
      </w:r>
    </w:p>
    <w:tbl>
      <w:tblPr>
        <w:tblStyle w:val="TableGrid"/>
        <w:tblW w:w="9240" w:type="dxa"/>
        <w:tblLook w:val="04A0" w:firstRow="1" w:lastRow="0" w:firstColumn="1" w:lastColumn="0" w:noHBand="0" w:noVBand="1"/>
      </w:tblPr>
      <w:tblGrid>
        <w:gridCol w:w="2600"/>
        <w:gridCol w:w="3600"/>
        <w:gridCol w:w="3040"/>
      </w:tblGrid>
      <w:tr>
        <w:trPr>
          <w:tblHeader/>
          <w:cantSplit/>
        </w:trPr>
        <w:tc>
          <w:tcPr>
            <w:tcW w:w="2600" w:type="dxa"/>
          </w:tcPr>
          <w:p>
            <w:pPr>
              <w:pStyle w:val="Normal"/>
            </w:pPr>
            <w:r>
              <w:rPr>
                <w:b/>
              </w:rPr>
              <w:t xml:space="preserve">What it says</w:t>
            </w:r>
          </w:p>
        </w:tc>
        <w:tc>
          <w:tcPr>
            <w:tcW w:w="3600" w:type="dxa"/>
          </w:tcPr>
          <w:p>
            <w:pPr>
              <w:pStyle w:val="Normal"/>
            </w:pPr>
            <w:r>
              <w:rPr>
                <w:b/>
              </w:rPr>
              <w:t xml:space="preserve">What it means</w:t>
            </w:r>
          </w:p>
        </w:tc>
        <w:tc>
          <w:tcPr>
            <w:tcW w:w="3040" w:type="dxa"/>
          </w:tcPr>
          <w:p>
            <w:pPr>
              <w:pStyle w:val="Normal"/>
            </w:pPr>
            <w:r>
              <w:rPr>
                <w:b/>
              </w:rPr>
              <w:t xml:space="preserve">What to upload</w:t>
            </w:r>
          </w:p>
        </w:tc>
      </w:tr>
      <w:tr>
        <w:trPr>
          <w:cantSplit/>
        </w:trPr>
        <w:tc>
          <w:tcPr>
            <w:tcW w:w="2600" w:type="dxa"/>
          </w:tcPr>
          <w:p>
            <w:pPr>
              <w:pStyle w:val="Normal"/>
            </w:pPr>
            <w:r>
              <w:t xml:space="preserve">DONE - both updates finished.</w:t>
            </w:r>
          </w:p>
        </w:tc>
        <w:tc>
          <w:tcPr>
            <w:tcW w:w="3600" w:type="dxa"/>
          </w:tcPr>
          <w:p>
            <w:pPr>
              <w:pStyle w:val="Normal"/>
            </w:pPr>
            <w:r>
              <w:t xml:space="preserve">Everything refreshed normally.</w:t>
            </w:r>
          </w:p>
        </w:tc>
        <w:tc>
          <w:tcPr>
            <w:tcW w:w="3040" w:type="dxa"/>
          </w:tcPr>
          <w:p>
            <w:pPr>
              <w:pStyle w:val="Normal"/>
            </w:pPr>
            <w:r>
              <w:t xml:space="preserve">Data/dengue-data.json and Data/who-dengue-global.json</w:t>
            </w:r>
          </w:p>
        </w:tc>
      </w:tr>
      <w:tr>
        <w:trPr>
          <w:cantSplit/>
        </w:trPr>
        <w:tc>
          <w:tcPr>
            <w:tcW w:w="2600" w:type="dxa"/>
          </w:tcPr>
          <w:p>
            <w:pPr>
              <w:pStyle w:val="Normal"/>
            </w:pPr>
            <w:r>
              <w:t xml:space="preserve">DONE - but only partly.</w:t>
            </w:r>
          </w:p>
        </w:tc>
        <w:tc>
          <w:tcPr>
            <w:tcW w:w="3600" w:type="dxa"/>
          </w:tcPr>
          <w:p>
            <w:pPr>
              <w:pStyle w:val="Normal"/>
            </w:pPr>
            <w:r>
              <w:t xml:space="preserve">WHO could not be reached — no internet, or their server is down. Your national data still updated correctly.</w:t>
            </w:r>
          </w:p>
        </w:tc>
        <w:tc>
          <w:tcPr>
            <w:tcW w:w="3040" w:type="dxa"/>
          </w:tcPr>
          <w:p>
            <w:pPr>
              <w:pStyle w:val="Normal"/>
            </w:pPr>
            <w:r>
              <w:t xml:space="preserve">Data/dengue-data.json only</w:t>
            </w:r>
          </w:p>
        </w:tc>
      </w:tr>
    </w:tbl>
    <w:p>
      <w:pPr>
        <w:pStyle w:val="Normal"/>
      </w:pPr>
    </w:p>
    <w:p>
      <w:pPr>
        <w:pStyle w:val="IntenseQuote"/>
      </w:pPr>
      <w:r>
        <w:t xml:space="preserve">If it says STOPPED, the national step failed and nothing was saved. Do not upload anything. Read the error printed above it — it is almost always a problem with the spreadsheet. See “When something goes wrong” below.</w:t>
      </w:r>
    </w:p>
    <w:p>
      <w:pPr>
        <w:pStyle w:val="Heading2"/>
      </w:pPr>
      <w:r>
        <w:t xml:space="preserve">Step 4: Upload the file to GitHub</w:t>
      </w:r>
    </w:p>
    <w:p>
      <w:pPr>
        <w:pStyle w:val="ListParagraph"/>
        <w:numPr>
          <w:ilvl w:val="0"/>
          <w:numId w:val="6"/>
        </w:numPr>
      </w:pPr>
      <w:r>
        <w:t xml:space="preserve">Open the repository in your browser and click into the Data folder.</w:t>
      </w:r>
    </w:p>
    <w:p>
      <w:pPr>
        <w:pStyle w:val="ListParagraph"/>
        <w:numPr>
          <w:ilvl w:val="0"/>
          <w:numId w:val="6"/>
        </w:numPr>
      </w:pPr>
      <w:r>
        <w:t xml:space="preserve">Click </w:t>
      </w:r>
      <w:r>
        <w:rPr>
          <w:b/>
        </w:rPr>
        <w:t xml:space="preserve">Add file</w:t>
      </w:r>
      <w:r>
        <w:t xml:space="preserve">, then </w:t>
      </w:r>
      <w:r>
        <w:rPr>
          <w:b/>
        </w:rPr>
        <w:t xml:space="preserve">Upload files</w:t>
      </w:r>
      <w:r>
        <w:t xml:space="preserve">.</w:t>
      </w:r>
    </w:p>
    <w:p>
      <w:pPr>
        <w:pStyle w:val="ListParagraph"/>
        <w:numPr>
          <w:ilvl w:val="0"/>
          <w:numId w:val="6"/>
        </w:numPr>
      </w:pPr>
      <w:r>
        <w:t xml:space="preserve">Drag in the file or files named in step 3, taken from the Data folder on your computer.</w:t>
      </w:r>
    </w:p>
    <w:p>
      <w:pPr>
        <w:pStyle w:val="ListParagraph"/>
        <w:numPr>
          <w:ilvl w:val="0"/>
          <w:numId w:val="6"/>
        </w:numPr>
      </w:pPr>
      <w:r>
        <w:t xml:space="preserve">Scroll down and click </w:t>
      </w:r>
      <w:r>
        <w:rPr>
          <w:b/>
        </w:rPr>
        <w:t xml:space="preserve">Commit changes</w:t>
      </w:r>
      <w:r>
        <w:t xml:space="preserve">.</w:t>
      </w:r>
    </w:p>
    <w:p>
      <w:pPr>
        <w:pStyle w:val="Normal"/>
      </w:pPr>
      <w:r>
        <w:t xml:space="preserve">Keep the filenames exactly as they are. GitHub will replace the old versions.</w:t>
      </w:r>
    </w:p>
    <w:p>
      <w:pPr>
        <w:pStyle w:val="Heading2"/>
      </w:pPr>
      <w:r>
        <w:t xml:space="preserve">Step 5: Confirm it went live</w:t>
      </w:r>
    </w:p>
    <w:p>
      <w:pPr>
        <w:pStyle w:val="Normal"/>
      </w:pPr>
      <w:r>
        <w:t xml:space="preserve">Wait about a minute, then open the live web address and check that the headline figures match what you entered. If the page still shows old numbers, wait another minute and refresh.</w:t>
      </w:r>
    </w:p>
    <w:p>
      <w:pPr>
        <w:pStyle w:val="Normal"/>
      </w:pPr>
      <w:r>
        <w:t xml:space="preserve">That is the whole weekly task. You do not need to ask anyone to clear their browser cache — the page checks for fresh data every time it loads.</w:t>
      </w:r>
    </w:p>
    <w:p>
      <w:pPr>
        <w:pStyle w:val="Heading1"/>
      </w:pPr>
      <w:r>
        <w:t xml:space="preserve">Never do these</w:t>
      </w:r>
    </w:p>
    <w:p>
      <w:pPr>
        <w:pStyle w:val="ListParagraph"/>
        <w:numPr>
          <w:ilvl w:val="0"/>
          <w:numId w:val="5"/>
        </w:numPr>
      </w:pPr>
      <w:r>
        <w:t xml:space="preserve">Never edit the data files by hand. The script rewrites them completely each run, so your edit is erased.</w:t>
      </w:r>
    </w:p>
    <w:p>
      <w:pPr>
        <w:pStyle w:val="ListParagraph"/>
        <w:numPr>
          <w:ilvl w:val="0"/>
          <w:numId w:val="5"/>
        </w:numPr>
      </w:pPr>
      <w:r>
        <w:t xml:space="preserve">Never re-upload index.html for a routine data update. Only files inside the Data folder change.</w:t>
      </w:r>
    </w:p>
    <w:p>
      <w:pPr>
        <w:pStyle w:val="ListParagraph"/>
        <w:numPr>
          <w:ilvl w:val="0"/>
          <w:numId w:val="5"/>
        </w:numPr>
      </w:pPr>
      <w:r>
        <w:t xml:space="preserve">Never rename or delete a province in Lookup_Lists if it is already used in an entry sheet. Adding is safe; renaming breaks history.</w:t>
      </w:r>
    </w:p>
    <w:p>
      <w:pPr>
        <w:pStyle w:val="ListParagraph"/>
        <w:numPr>
          <w:ilvl w:val="0"/>
          <w:numId w:val="5"/>
        </w:numPr>
      </w:pPr>
      <w:r>
        <w:t xml:space="preserve">Never rename the sheets in the workbook. The script looks for them by name and will stop if one is missing.</w:t>
      </w:r>
    </w:p>
    <w:p>
      <w:pPr>
        <w:pStyle w:val="ListParagraph"/>
        <w:numPr>
          <w:ilvl w:val="0"/>
          <w:numId w:val="5"/>
        </w:numPr>
      </w:pPr>
      <w:r>
        <w:t xml:space="preserve">Never upload after a STOPPED message. Nothing was saved, so you would be re-uploading last week’s file.</w:t>
      </w:r>
    </w:p>
    <w:p>
      <w:pPr>
        <w:pStyle w:val="Heading1"/>
      </w:pPr>
      <w:r>
        <w:t xml:space="preserve">When something goes wrong</w:t>
      </w:r>
    </w:p>
    <w:tbl>
      <w:tblPr>
        <w:tblStyle w:val="TableGrid"/>
        <w:tblW w:w="9240" w:type="dxa"/>
        <w:tblLook w:val="04A0" w:firstRow="1" w:lastRow="0" w:firstColumn="1" w:lastColumn="0" w:noHBand="0" w:noVBand="1"/>
      </w:tblPr>
      <w:tblGrid>
        <w:gridCol w:w="2700"/>
        <w:gridCol w:w="3200"/>
        <w:gridCol w:w="3340"/>
      </w:tblGrid>
      <w:tr>
        <w:trPr>
          <w:tblHeader/>
          <w:cantSplit/>
        </w:trPr>
        <w:tc>
          <w:tcPr>
            <w:tcW w:w="2700" w:type="dxa"/>
          </w:tcPr>
          <w:p>
            <w:pPr>
              <w:pStyle w:val="Normal"/>
            </w:pPr>
            <w:r>
              <w:rPr>
                <w:b/>
              </w:rPr>
              <w:t xml:space="preserve">What you see</w:t>
            </w:r>
          </w:p>
        </w:tc>
        <w:tc>
          <w:tcPr>
            <w:tcW w:w="3200" w:type="dxa"/>
          </w:tcPr>
          <w:p>
            <w:pPr>
              <w:pStyle w:val="Normal"/>
            </w:pPr>
            <w:r>
              <w:rPr>
                <w:b/>
              </w:rPr>
              <w:t xml:space="preserve">What it means</w:t>
            </w:r>
          </w:p>
        </w:tc>
        <w:tc>
          <w:tcPr>
            <w:tcW w:w="3340" w:type="dxa"/>
          </w:tcPr>
          <w:p>
            <w:pPr>
              <w:pStyle w:val="Normal"/>
            </w:pPr>
            <w:r>
              <w:rPr>
                <w:b/>
              </w:rPr>
              <w:t xml:space="preserve">What to do</w:t>
            </w:r>
          </w:p>
        </w:tc>
      </w:tr>
      <w:tr>
        <w:trPr>
          <w:cantSplit/>
        </w:trPr>
        <w:tc>
          <w:tcPr>
            <w:tcW w:w="2700" w:type="dxa"/>
          </w:tcPr>
          <w:p>
            <w:pPr>
              <w:pStyle w:val="Normal"/>
            </w:pPr>
            <w:r>
              <w:t xml:space="preserve">The Microsoft Store opens</w:t>
            </w:r>
          </w:p>
        </w:tc>
        <w:tc>
          <w:tcPr>
            <w:tcW w:w="3200" w:type="dxa"/>
          </w:tcPr>
          <w:p>
            <w:pPr>
              <w:pStyle w:val="Normal"/>
            </w:pPr>
            <w:r>
              <w:t xml:space="preserve">Python is not really installed — Windows ships a placeholder</w:t>
            </w:r>
          </w:p>
        </w:tc>
        <w:tc>
          <w:tcPr>
            <w:tcW w:w="3340" w:type="dxa"/>
          </w:tcPr>
          <w:p>
            <w:pPr>
              <w:pStyle w:val="Normal"/>
            </w:pPr>
            <w:r>
              <w:t xml:space="preserve">Install Python from www.python.org, selecting “Add Python to PATH”</w:t>
            </w:r>
          </w:p>
        </w:tc>
      </w:tr>
      <w:tr>
        <w:trPr>
          <w:cantSplit/>
        </w:trPr>
        <w:tc>
          <w:tcPr>
            <w:tcW w:w="2700" w:type="dxa"/>
          </w:tcPr>
          <w:p>
            <w:pPr>
              <w:pStyle w:val="Normal"/>
            </w:pPr>
            <w:r>
              <w:t xml:space="preserve">Sheet ... not found</w:t>
            </w:r>
          </w:p>
        </w:tc>
        <w:tc>
          <w:tcPr>
            <w:tcW w:w="3200" w:type="dxa"/>
          </w:tcPr>
          <w:p>
            <w:pPr>
              <w:pStyle w:val="Normal"/>
            </w:pPr>
            <w:r>
              <w:t xml:space="preserve">A sheet was renamed or deleted in the workbook</w:t>
            </w:r>
          </w:p>
        </w:tc>
        <w:tc>
          <w:tcPr>
            <w:tcW w:w="3340" w:type="dxa"/>
          </w:tcPr>
          <w:p>
            <w:pPr>
              <w:pStyle w:val="Normal"/>
            </w:pPr>
            <w:r>
              <w:t xml:space="preserve">Restore the original sheet name exactly</w:t>
            </w:r>
          </w:p>
        </w:tc>
      </w:tr>
      <w:tr>
        <w:trPr>
          <w:cantSplit/>
        </w:trPr>
        <w:tc>
          <w:tcPr>
            <w:tcW w:w="2700" w:type="dxa"/>
          </w:tcPr>
          <w:p>
            <w:pPr>
              <w:pStyle w:val="Normal"/>
            </w:pPr>
            <w:r>
              <w:t xml:space="preserve">Required file not found</w:t>
            </w:r>
          </w:p>
        </w:tc>
        <w:tc>
          <w:tcPr>
            <w:tcW w:w="3200" w:type="dxa"/>
          </w:tcPr>
          <w:p>
            <w:pPr>
              <w:pStyle w:val="Normal"/>
            </w:pPr>
            <w:r>
              <w:t xml:space="preserve">The script has been separated from the Excel file</w:t>
            </w:r>
          </w:p>
        </w:tc>
        <w:tc>
          <w:tcPr>
            <w:tcW w:w="3340" w:type="dxa"/>
          </w:tcPr>
          <w:p>
            <w:pPr>
              <w:pStyle w:val="Normal"/>
            </w:pPr>
            <w:r>
              <w:t xml:space="preserve">Keep all the files together in one folder; do not move just a shortcut</w:t>
            </w:r>
          </w:p>
        </w:tc>
      </w:tr>
      <w:tr>
        <w:trPr>
          <w:cantSplit/>
        </w:trPr>
        <w:tc>
          <w:tcPr>
            <w:tcW w:w="2700" w:type="dxa"/>
          </w:tcPr>
          <w:p>
            <w:pPr>
              <w:pStyle w:val="Normal"/>
            </w:pPr>
            <w:r>
              <w:t xml:space="preserve">Could not reach the WHO API</w:t>
            </w:r>
          </w:p>
        </w:tc>
        <w:tc>
          <w:tcPr>
            <w:tcW w:w="3200" w:type="dxa"/>
          </w:tcPr>
          <w:p>
            <w:pPr>
              <w:pStyle w:val="Normal"/>
            </w:pPr>
            <w:r>
              <w:t xml:space="preserve">No internet, or WHO is down. Not yours to fix</w:t>
            </w:r>
          </w:p>
        </w:tc>
        <w:tc>
          <w:tcPr>
            <w:tcW w:w="3340" w:type="dxa"/>
          </w:tcPr>
          <w:p>
            <w:pPr>
              <w:pStyle w:val="Normal"/>
            </w:pPr>
            <w:r>
              <w:t xml:space="preserve">Nothing. Your national update is safe — upload it and move on</w:t>
            </w:r>
          </w:p>
        </w:tc>
      </w:tr>
      <w:tr>
        <w:trPr>
          <w:cantSplit/>
        </w:trPr>
        <w:tc>
          <w:tcPr>
            <w:tcW w:w="2700" w:type="dxa"/>
          </w:tcPr>
          <w:p>
            <w:pPr>
              <w:pStyle w:val="Normal"/>
            </w:pPr>
            <w:r>
              <w:t xml:space="preserve">Numbers on the site look unchanged</w:t>
            </w:r>
          </w:p>
        </w:tc>
        <w:tc>
          <w:tcPr>
            <w:tcW w:w="3200" w:type="dxa"/>
          </w:tcPr>
          <w:p>
            <w:pPr>
              <w:pStyle w:val="Normal"/>
            </w:pPr>
            <w:r>
              <w:t xml:space="preserve">Either the commit has not deployed yet, or Excel was left unsaved</w:t>
            </w:r>
          </w:p>
        </w:tc>
        <w:tc>
          <w:tcPr>
            <w:tcW w:w="3340" w:type="dxa"/>
          </w:tcPr>
          <w:p>
            <w:pPr>
              <w:pStyle w:val="Normal"/>
            </w:pPr>
            <w:r>
              <w:t xml:space="preserve">Wait two minutes and refresh. If still wrong, redo from step 1</w:t>
            </w:r>
          </w:p>
        </w:tc>
      </w:tr>
      <w:tr>
        <w:trPr>
          <w:cantSplit/>
        </w:trPr>
        <w:tc>
          <w:tcPr>
            <w:tcW w:w="2700" w:type="dxa"/>
          </w:tcPr>
          <w:p>
            <w:pPr>
              <w:pStyle w:val="Normal"/>
            </w:pPr>
            <w:r>
              <w:t xml:space="preserve">A province is missing from the map</w:t>
            </w:r>
          </w:p>
        </w:tc>
        <w:tc>
          <w:tcPr>
            <w:tcW w:w="3200" w:type="dxa"/>
          </w:tcPr>
          <w:p>
            <w:pPr>
              <w:pStyle w:val="Normal"/>
            </w:pPr>
            <w:r>
              <w:t xml:space="preserve">Its name does not match Lookup_Lists — usually a typo or stray space</w:t>
            </w:r>
          </w:p>
        </w:tc>
        <w:tc>
          <w:tcPr>
            <w:tcW w:w="3340" w:type="dxa"/>
          </w:tcPr>
          <w:p>
            <w:pPr>
              <w:pStyle w:val="Normal"/>
            </w:pPr>
            <w:r>
              <w:t xml:space="preserve">Correct the spelling in the entry sheet and run the update again</w:t>
            </w:r>
          </w:p>
        </w:tc>
      </w:tr>
    </w:tbl>
    <w:p>
      <w:pPr>
        <w:pStyle w:val="Normal"/>
      </w:pPr>
    </w:p>
    <w:p>
      <w:pPr>
        <w:pStyle w:val="Heading1"/>
      </w:pPr>
      <w:r>
        <w:t xml:space="preserve">Known limitations to hand on</w:t>
      </w:r>
    </w:p>
    <w:p>
      <w:pPr>
        <w:pStyle w:val="Normal"/>
      </w:pPr>
      <w:r>
        <w:t xml:space="preserve">None of these break anything today, but the next person should know about them.</w:t>
      </w:r>
    </w:p>
    <w:p>
      <w:pPr>
        <w:pStyle w:val="Heading2"/>
      </w:pPr>
      <w:r>
        <w:t xml:space="preserve">The week number in the page header is typed by hand</w:t>
      </w:r>
    </w:p>
    <w:p>
      <w:pPr>
        <w:pStyle w:val="Normal"/>
      </w:pPr>
      <w:r>
        <w:t xml:space="preserve">The line reading “DHF Weekly Report — Week 27, 2026” at the top of the dashboard is fixed text inside index.html. No script updates it. If that label matters to your audience, edit it manually and upload index.html that once.</w:t>
      </w:r>
    </w:p>
    <w:p>
      <w:pPr>
        <w:pStyle w:val="Heading2"/>
      </w:pPr>
      <w:r>
        <w:t xml:space="preserve">Age-group comparison has no 2025 baseline</w:t>
      </w:r>
    </w:p>
    <w:p>
      <w:pPr>
        <w:pStyle w:val="Normal"/>
      </w:pPr>
      <w:r>
        <w:t xml:space="preserve">The </w:t>
      </w:r>
      <w:r>
        <w:rPr>
          <w:b/>
        </w:rPr>
        <w:t xml:space="preserve">National_AgeGroup_Entry</w:t>
      </w:r>
      <w:r>
        <w:t xml:space="preserve"> sheet currently holds 2026 rows only, so the “2025 versus 2026 by age” chart draws 2025 as zero — which reads as if nobody of any age caught dengue in 2025. The workbook’s own QA check number 8 already flags this. Adding the four 2025 age rows fixes it.</w:t>
      </w:r>
    </w:p>
    <w:p>
      <w:pPr>
        <w:pStyle w:val="Heading2"/>
      </w:pPr>
      <w:r>
        <w:t xml:space="preserve">January 2027 will mislabel every year</w:t>
      </w:r>
    </w:p>
    <w:p>
      <w:pPr>
        <w:pStyle w:val="Normal"/>
      </w:pPr>
      <w:r>
        <w:t xml:space="preserve">The data file names its fields after 2026 and 2025 regardless of the actual year. The first time 2027 data is added, </w:t>
      </w:r>
      <w:r>
        <w:rPr>
          <w:b/>
        </w:rPr>
        <w:t xml:space="preserve">the numbers will be correct but every label will still say 2026</w:t>
      </w:r>
      <w:r>
        <w:t xml:space="preserve">. Nothing shows an error; it just quietly reads a year behind. Budget a short piece of development work before the new year, so the dashboard derives its year labels from the data.</w:t>
      </w:r>
    </w:p>
    <w:p>
      <w:pPr>
        <w:pStyle w:val="Heading1"/>
      </w:pPr>
      <w:r>
        <w:t xml:space="preserve">Where the numbers come from</w:t>
      </w:r>
    </w:p>
    <w:tbl>
      <w:tblPr>
        <w:tblStyle w:val="TableGrid"/>
        <w:tblW w:w="9240" w:type="dxa"/>
        <w:tblLook w:val="04A0" w:firstRow="1" w:lastRow="0" w:firstColumn="1" w:lastColumn="0" w:noHBand="0" w:noVBand="1"/>
      </w:tblPr>
      <w:tblGrid>
        <w:gridCol w:w="2300"/>
        <w:gridCol w:w="5140"/>
        <w:gridCol w:w="1800"/>
      </w:tblGrid>
      <w:tr>
        <w:trPr>
          <w:tblHeader/>
          <w:cantSplit/>
        </w:trPr>
        <w:tc>
          <w:tcPr>
            <w:tcW w:w="2300" w:type="dxa"/>
          </w:tcPr>
          <w:p>
            <w:pPr>
              <w:pStyle w:val="Normal"/>
            </w:pPr>
            <w:r>
              <w:rPr>
                <w:b/>
              </w:rPr>
              <w:t xml:space="preserve">Half of the dashboard</w:t>
            </w:r>
          </w:p>
        </w:tc>
        <w:tc>
          <w:tcPr>
            <w:tcW w:w="5140" w:type="dxa"/>
          </w:tcPr>
          <w:p>
            <w:pPr>
              <w:pStyle w:val="Normal"/>
            </w:pPr>
            <w:r>
              <w:rPr>
                <w:b/>
              </w:rPr>
              <w:t xml:space="preserve">Source</w:t>
            </w:r>
          </w:p>
        </w:tc>
        <w:tc>
          <w:tcPr>
            <w:tcW w:w="1800" w:type="dxa"/>
          </w:tcPr>
          <w:p>
            <w:pPr>
              <w:pStyle w:val="Normal"/>
            </w:pPr>
            <w:r>
              <w:rPr>
                <w:b/>
              </w:rPr>
              <w:t xml:space="preserve">Updated by</w:t>
            </w:r>
          </w:p>
        </w:tc>
      </w:tr>
      <w:tr>
        <w:trPr>
          <w:cantSplit/>
        </w:trPr>
        <w:tc>
          <w:tcPr>
            <w:tcW w:w="2300" w:type="dxa"/>
          </w:tcPr>
          <w:p>
            <w:pPr>
              <w:pStyle w:val="Normal"/>
            </w:pPr>
            <w:r>
              <w:t xml:space="preserve">Cambodia tab</w:t>
            </w:r>
          </w:p>
        </w:tc>
        <w:tc>
          <w:tcPr>
            <w:tcW w:w="5140" w:type="dxa"/>
          </w:tcPr>
          <w:p>
            <w:pPr>
              <w:pStyle w:val="Normal"/>
            </w:pPr>
            <w:r>
              <w:t xml:space="preserve">National Dengue Control Program (NDCP) dengue hemorrhagic fever weekly bulletin, typed into the Excel workbook. Population from the National Institute of Statistics Population Projection 2020–2033</w:t>
            </w:r>
          </w:p>
        </w:tc>
        <w:tc>
          <w:tcPr>
            <w:tcW w:w="1800" w:type="dxa"/>
          </w:tcPr>
          <w:p>
            <w:pPr>
              <w:pStyle w:val="Normal"/>
            </w:pPr>
            <w:r>
              <w:t xml:space="preserve">You, weekly</w:t>
            </w:r>
          </w:p>
        </w:tc>
      </w:tr>
      <w:tr>
        <w:trPr>
          <w:cantSplit/>
        </w:trPr>
        <w:tc>
          <w:tcPr>
            <w:tcW w:w="2300" w:type="dxa"/>
          </w:tcPr>
          <w:p>
            <w:pPr>
              <w:pStyle w:val="Normal"/>
            </w:pPr>
            <w:r>
              <w:t xml:space="preserve">Global Context tab</w:t>
            </w:r>
          </w:p>
        </w:tc>
        <w:tc>
          <w:tcPr>
            <w:tcW w:w="5140" w:type="dxa"/>
          </w:tcPr>
          <w:p>
            <w:pPr>
              <w:pStyle w:val="Normal"/>
            </w:pPr>
            <w:r>
              <w:t xml:space="preserve">WHO Global Dengue Surveillance Dashboard, via its public application programming interface</w:t>
            </w:r>
          </w:p>
        </w:tc>
        <w:tc>
          <w:tcPr>
            <w:tcW w:w="1800" w:type="dxa"/>
          </w:tcPr>
          <w:p>
            <w:pPr>
              <w:pStyle w:val="Normal"/>
            </w:pPr>
            <w:r>
              <w:t xml:space="preserve">The script, automatically</w:t>
            </w:r>
          </w:p>
        </w:tc>
      </w:tr>
    </w:tbl>
    <w:p>
      <w:pPr>
        <w:pStyle w:val="Normal"/>
      </w:pPr>
    </w:p>
    <w:p>
      <w:pPr>
        <w:pStyle w:val="Normal"/>
      </w:pPr>
      <w:r>
        <w:t xml:space="preserve">The two sources will disagree about Cambodia, and that is expected. WHO receives Cambodia’s figures weeks late and revises them. </w:t>
      </w:r>
      <w:r>
        <w:rPr>
          <w:b/>
        </w:rPr>
        <w:t xml:space="preserve">The Cambodia tab is the number to quote.</w:t>
      </w:r>
      <w:r>
        <w:t xml:space="preserve"> Card G6 on the Global Context tab shows the gap year by year rather than hiding it.</w:t>
      </w:r>
    </w:p>
    <w:p>
      <w:pPr>
        <w:pStyle w:val="Caption"/>
      </w:pPr>
      <w:r>
        <w:t xml:space="preserve">This document covers routine weekly operation only. First-time deployment to GitHub Pages is covered in README.md in the project folder.</w:t>
      </w:r>
    </w:p>
    <w:sectPr w:rsidR="002E468F" w:rsidRPr="002E468F">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E70729" w14:textId="77777777" w:rsidR="002727D0" w:rsidRDefault="002727D0" w:rsidP="007C1CDD">
      <w:r>
        <w:separator/>
      </w:r>
    </w:p>
  </w:endnote>
  <w:endnote w:type="continuationSeparator" w:id="0">
    <w:p w14:paraId="240888DD" w14:textId="77777777" w:rsidR="002727D0" w:rsidRDefault="002727D0" w:rsidP="007C1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D569D" w14:textId="7A7FEB50" w:rsidR="002E468F" w:rsidRPr="008D14B4" w:rsidRDefault="002E468F" w:rsidP="008D14B4">
    <w:pPr>
      <w:pStyle w:val="Footer"/>
      <w:pBdr>
        <w:top w:val="single" w:sz="8" w:space="4" w:color="003E78" w:themeColor="text2"/>
      </w:pBdr>
    </w:pPr>
    <w:r w:rsidRPr="008D14B4">
      <w:t xml:space="preserve">Weekly dengue data refresh | </w:t>
    </w:r>
    <w:r w:rsidRPr="008D14B4">
      <w:fldChar w:fldCharType="begin"/>
    </w:r>
    <w:r w:rsidRPr="008D14B4">
      <w:instrText xml:space="preserve"> PAGE </w:instrText>
    </w:r>
    <w:r w:rsidRPr="008D14B4">
      <w:fldChar w:fldCharType="separate"/>
    </w:r>
    <w:r w:rsidRPr="008D14B4">
      <w:t>1</w:t>
    </w:r>
    <w:r w:rsidRPr="008D14B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9DF176" w14:textId="77777777" w:rsidR="002727D0" w:rsidRDefault="002727D0" w:rsidP="007C1CDD">
      <w:r>
        <w:separator/>
      </w:r>
    </w:p>
  </w:footnote>
  <w:footnote w:type="continuationSeparator" w:id="0">
    <w:p w14:paraId="6F36D6C4" w14:textId="77777777" w:rsidR="002727D0" w:rsidRDefault="002727D0" w:rsidP="007C1CDD">
      <w:r>
        <w:continuationSeparator/>
      </w:r>
    </w:p>
  </w:footnote>
  <w:footnote w:id="1">
    <w:p w14:paraId="69FF69E8" w14:textId="77777777" w:rsidR="002E468F" w:rsidRDefault="002E468F" w:rsidP="002E468F">
      <w:pPr>
        <w:pStyle w:val="FootnoteText"/>
      </w:pPr>
      <w:r>
        <w:rPr>
          <w:rStyle w:val="FootnoteReference"/>
        </w:rPr>
        <w:footnoteRef/>
      </w:r>
      <w:r>
        <w:t xml:space="preserve"> Footnote reference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6183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923D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E3C09B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C681D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124A92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14B53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E2B8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309D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D2F2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BFAB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53749"/>
    <w:multiLevelType w:val="hybridMultilevel"/>
    <w:tmpl w:val="5066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566F44"/>
    <w:multiLevelType w:val="hybridMultilevel"/>
    <w:tmpl w:val="C15EB0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B9588C"/>
    <w:multiLevelType w:val="hybridMultilevel"/>
    <w:tmpl w:val="41722606"/>
    <w:lvl w:ilvl="0" w:tplc="1EF63FC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D00212"/>
    <w:multiLevelType w:val="hybridMultilevel"/>
    <w:tmpl w:val="9B4ACD30"/>
    <w:lvl w:ilvl="0" w:tplc="2BE4170A">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3A583B"/>
    <w:multiLevelType w:val="hybridMultilevel"/>
    <w:tmpl w:val="307A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8703A9"/>
    <w:multiLevelType w:val="hybridMultilevel"/>
    <w:tmpl w:val="206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87ACF"/>
    <w:multiLevelType w:val="hybridMultilevel"/>
    <w:tmpl w:val="BFB060B0"/>
    <w:lvl w:ilvl="0" w:tplc="8CC02562">
      <w:start w:val="1"/>
      <w:numFmt w:val="decimal"/>
      <w:pStyle w:val="ListNumb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D57C8D"/>
    <w:multiLevelType w:val="hybridMultilevel"/>
    <w:tmpl w:val="FAA2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A5240"/>
    <w:multiLevelType w:val="hybridMultilevel"/>
    <w:tmpl w:val="6114DB9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B26A09"/>
    <w:multiLevelType w:val="multilevel"/>
    <w:tmpl w:val="7724416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36B79A9"/>
    <w:multiLevelType w:val="hybridMultilevel"/>
    <w:tmpl w:val="1D06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14DBC"/>
    <w:multiLevelType w:val="hybridMultilevel"/>
    <w:tmpl w:val="DC487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E72B3C"/>
    <w:multiLevelType w:val="hybridMultilevel"/>
    <w:tmpl w:val="B086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A588C"/>
    <w:multiLevelType w:val="hybridMultilevel"/>
    <w:tmpl w:val="BD367B94"/>
    <w:lvl w:ilvl="0" w:tplc="9E582EB4">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4058128">
    <w:abstractNumId w:val="13"/>
  </w:num>
  <w:num w:numId="2" w16cid:durableId="1168712433">
    <w:abstractNumId w:val="13"/>
  </w:num>
  <w:num w:numId="3" w16cid:durableId="178158018">
    <w:abstractNumId w:val="15"/>
  </w:num>
  <w:num w:numId="4" w16cid:durableId="78841313">
    <w:abstractNumId w:val="10"/>
  </w:num>
  <w:num w:numId="5" w16cid:durableId="1512530464">
    <w:abstractNumId w:val="23"/>
  </w:num>
  <w:num w:numId="6" w16cid:durableId="36853340">
    <w:abstractNumId w:val="0"/>
  </w:num>
  <w:num w:numId="7" w16cid:durableId="2064987590">
    <w:abstractNumId w:val="1"/>
  </w:num>
  <w:num w:numId="8" w16cid:durableId="1465079203">
    <w:abstractNumId w:val="2"/>
  </w:num>
  <w:num w:numId="9" w16cid:durableId="1549226639">
    <w:abstractNumId w:val="3"/>
  </w:num>
  <w:num w:numId="10" w16cid:durableId="534586215">
    <w:abstractNumId w:val="8"/>
  </w:num>
  <w:num w:numId="11" w16cid:durableId="1953630903">
    <w:abstractNumId w:val="4"/>
  </w:num>
  <w:num w:numId="12" w16cid:durableId="1576088041">
    <w:abstractNumId w:val="5"/>
  </w:num>
  <w:num w:numId="13" w16cid:durableId="191916197">
    <w:abstractNumId w:val="6"/>
  </w:num>
  <w:num w:numId="14" w16cid:durableId="586381005">
    <w:abstractNumId w:val="7"/>
  </w:num>
  <w:num w:numId="15" w16cid:durableId="345637473">
    <w:abstractNumId w:val="9"/>
  </w:num>
  <w:num w:numId="16" w16cid:durableId="1694333021">
    <w:abstractNumId w:val="23"/>
  </w:num>
  <w:num w:numId="17" w16cid:durableId="660541906">
    <w:abstractNumId w:val="12"/>
  </w:num>
  <w:num w:numId="18" w16cid:durableId="746153513">
    <w:abstractNumId w:val="8"/>
  </w:num>
  <w:num w:numId="19" w16cid:durableId="1328168709">
    <w:abstractNumId w:val="23"/>
  </w:num>
  <w:num w:numId="20" w16cid:durableId="228007462">
    <w:abstractNumId w:val="16"/>
  </w:num>
  <w:num w:numId="21" w16cid:durableId="16318785">
    <w:abstractNumId w:val="19"/>
  </w:num>
  <w:num w:numId="22" w16cid:durableId="818570916">
    <w:abstractNumId w:val="16"/>
    <w:lvlOverride w:ilvl="0">
      <w:startOverride w:val="1"/>
    </w:lvlOverride>
  </w:num>
  <w:num w:numId="23" w16cid:durableId="263342705">
    <w:abstractNumId w:val="16"/>
  </w:num>
  <w:num w:numId="24" w16cid:durableId="2122262003">
    <w:abstractNumId w:val="23"/>
  </w:num>
  <w:num w:numId="25" w16cid:durableId="519314668">
    <w:abstractNumId w:val="21"/>
  </w:num>
  <w:num w:numId="26" w16cid:durableId="272517702">
    <w:abstractNumId w:val="18"/>
  </w:num>
  <w:num w:numId="27" w16cid:durableId="1317565040">
    <w:abstractNumId w:val="11"/>
  </w:num>
  <w:num w:numId="28" w16cid:durableId="2098088251">
    <w:abstractNumId w:val="14"/>
  </w:num>
  <w:num w:numId="29" w16cid:durableId="2107575690">
    <w:abstractNumId w:val="17"/>
  </w:num>
  <w:num w:numId="30" w16cid:durableId="147405084">
    <w:abstractNumId w:val="22"/>
  </w:num>
  <w:num w:numId="31" w16cid:durableId="820542756">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8F"/>
    <w:rsid w:val="00000D50"/>
    <w:rsid w:val="0002374C"/>
    <w:rsid w:val="00030E6B"/>
    <w:rsid w:val="00047889"/>
    <w:rsid w:val="00097DF4"/>
    <w:rsid w:val="000C5B3B"/>
    <w:rsid w:val="000C7FC7"/>
    <w:rsid w:val="000E27A3"/>
    <w:rsid w:val="00135D03"/>
    <w:rsid w:val="001E08AB"/>
    <w:rsid w:val="002727D0"/>
    <w:rsid w:val="00282F2A"/>
    <w:rsid w:val="002A1472"/>
    <w:rsid w:val="002A4C3B"/>
    <w:rsid w:val="002E01C5"/>
    <w:rsid w:val="002E468F"/>
    <w:rsid w:val="002F0F93"/>
    <w:rsid w:val="00301414"/>
    <w:rsid w:val="003168BA"/>
    <w:rsid w:val="0044300F"/>
    <w:rsid w:val="00517D65"/>
    <w:rsid w:val="0059575C"/>
    <w:rsid w:val="005E76AB"/>
    <w:rsid w:val="00631D72"/>
    <w:rsid w:val="00752E11"/>
    <w:rsid w:val="00765CE8"/>
    <w:rsid w:val="007819BD"/>
    <w:rsid w:val="00795974"/>
    <w:rsid w:val="007C1CDD"/>
    <w:rsid w:val="0086080D"/>
    <w:rsid w:val="008A430B"/>
    <w:rsid w:val="008C72A6"/>
    <w:rsid w:val="008D14B4"/>
    <w:rsid w:val="00914F98"/>
    <w:rsid w:val="009A03F7"/>
    <w:rsid w:val="009C0513"/>
    <w:rsid w:val="00AA4D55"/>
    <w:rsid w:val="00AE48CC"/>
    <w:rsid w:val="00B40B34"/>
    <w:rsid w:val="00B45075"/>
    <w:rsid w:val="00B60EBD"/>
    <w:rsid w:val="00B659F5"/>
    <w:rsid w:val="00B97CF4"/>
    <w:rsid w:val="00BA7076"/>
    <w:rsid w:val="00BE49BB"/>
    <w:rsid w:val="00CC75EE"/>
    <w:rsid w:val="00E035F6"/>
    <w:rsid w:val="00E6714D"/>
    <w:rsid w:val="00ED08E4"/>
    <w:rsid w:val="00FA2B75"/>
    <w:rsid w:val="00FE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977E"/>
  <w15:chartTrackingRefBased/>
  <w15:docId w15:val="{3A05A8DD-0716-5745-9CA9-A6754D53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D50"/>
    <w:pPr>
      <w:spacing w:after="120" w:line="276" w:lineRule="auto"/>
    </w:pPr>
    <w:rPr>
      <w:sz w:val="20"/>
      <w:szCs w:val="20"/>
    </w:rPr>
  </w:style>
  <w:style w:type="paragraph" w:styleId="Heading1">
    <w:name w:val="heading 1"/>
    <w:basedOn w:val="Normal"/>
    <w:next w:val="Normal"/>
    <w:link w:val="Heading1Char"/>
    <w:uiPriority w:val="9"/>
    <w:qFormat/>
    <w:rsid w:val="008D14B4"/>
    <w:pPr>
      <w:keepNext/>
      <w:keepLines/>
      <w:pBdr>
        <w:bottom w:val="single" w:sz="8" w:space="1" w:color="003E78" w:themeColor="text2"/>
      </w:pBdr>
      <w:spacing w:before="120"/>
      <w:outlineLvl w:val="0"/>
    </w:pPr>
    <w:rPr>
      <w:rFonts w:asciiTheme="majorHAnsi" w:eastAsiaTheme="majorEastAsia" w:hAnsiTheme="majorHAnsi" w:cstheme="majorBidi"/>
      <w:b/>
      <w:color w:val="003E78" w:themeColor="text2"/>
      <w:sz w:val="32"/>
      <w:szCs w:val="32"/>
    </w:rPr>
  </w:style>
  <w:style w:type="paragraph" w:styleId="Heading2">
    <w:name w:val="heading 2"/>
    <w:basedOn w:val="Heading4"/>
    <w:next w:val="Normal"/>
    <w:link w:val="Heading2Char"/>
    <w:uiPriority w:val="9"/>
    <w:unhideWhenUsed/>
    <w:qFormat/>
    <w:rsid w:val="00BE49BB"/>
    <w:pPr>
      <w:spacing w:before="120" w:line="276" w:lineRule="auto"/>
      <w:outlineLvl w:val="1"/>
    </w:pPr>
    <w:rPr>
      <w:rFonts w:asciiTheme="minorHAnsi" w:hAnsiTheme="minorHAnsi" w:cs="Arial"/>
      <w:b w:val="0"/>
      <w:bCs w:val="0"/>
      <w:color w:val="117996" w:themeColor="accent2"/>
      <w:sz w:val="28"/>
      <w:szCs w:val="28"/>
    </w:rPr>
  </w:style>
  <w:style w:type="paragraph" w:styleId="Heading3">
    <w:name w:val="heading 3"/>
    <w:basedOn w:val="Normal"/>
    <w:next w:val="Normal"/>
    <w:link w:val="Heading3Char"/>
    <w:uiPriority w:val="9"/>
    <w:unhideWhenUsed/>
    <w:qFormat/>
    <w:rsid w:val="00BE49BB"/>
    <w:pPr>
      <w:keepNext/>
      <w:keepLines/>
      <w:spacing w:before="60"/>
      <w:outlineLvl w:val="2"/>
    </w:pPr>
    <w:rPr>
      <w:rFonts w:eastAsiaTheme="majorEastAsia" w:cstheme="majorBidi"/>
      <w:iCs/>
      <w:color w:val="117996" w:themeColor="accent2"/>
      <w:sz w:val="24"/>
      <w:szCs w:val="24"/>
    </w:rPr>
  </w:style>
  <w:style w:type="paragraph" w:styleId="Heading4">
    <w:name w:val="heading 4"/>
    <w:basedOn w:val="Normal"/>
    <w:next w:val="Normal"/>
    <w:link w:val="Heading4Char"/>
    <w:uiPriority w:val="9"/>
    <w:unhideWhenUsed/>
    <w:qFormat/>
    <w:rsid w:val="00000D50"/>
    <w:pPr>
      <w:keepNext/>
      <w:keepLines/>
      <w:spacing w:before="40" w:line="259" w:lineRule="auto"/>
      <w:outlineLvl w:val="3"/>
    </w:pPr>
    <w:rPr>
      <w:rFonts w:asciiTheme="majorHAnsi" w:eastAsiaTheme="majorEastAsia" w:hAnsiTheme="majorHAnsi" w:cstheme="majorBidi"/>
      <w:b/>
      <w:bCs/>
      <w:sz w:val="21"/>
      <w:szCs w:val="21"/>
    </w:rPr>
  </w:style>
  <w:style w:type="paragraph" w:styleId="Heading5">
    <w:name w:val="heading 5"/>
    <w:basedOn w:val="Normal"/>
    <w:next w:val="Normal"/>
    <w:link w:val="Heading5Char"/>
    <w:uiPriority w:val="9"/>
    <w:semiHidden/>
    <w:unhideWhenUsed/>
    <w:rsid w:val="00282F2A"/>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00D50"/>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00D50"/>
    <w:pPr>
      <w:keepNext/>
      <w:keepLines/>
      <w:spacing w:before="40" w:after="0"/>
      <w:outlineLvl w:val="6"/>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4B4"/>
    <w:rPr>
      <w:rFonts w:asciiTheme="majorHAnsi" w:eastAsiaTheme="majorEastAsia" w:hAnsiTheme="majorHAnsi" w:cstheme="majorBidi"/>
      <w:b/>
      <w:color w:val="003E78" w:themeColor="text2"/>
      <w:sz w:val="32"/>
      <w:szCs w:val="32"/>
    </w:rPr>
  </w:style>
  <w:style w:type="character" w:customStyle="1" w:styleId="Heading2Char">
    <w:name w:val="Heading 2 Char"/>
    <w:basedOn w:val="DefaultParagraphFont"/>
    <w:link w:val="Heading2"/>
    <w:uiPriority w:val="9"/>
    <w:rsid w:val="00BE49BB"/>
    <w:rPr>
      <w:rFonts w:eastAsiaTheme="majorEastAsia" w:cs="Arial"/>
      <w:color w:val="117996" w:themeColor="accent2"/>
      <w:sz w:val="28"/>
      <w:szCs w:val="28"/>
    </w:rPr>
  </w:style>
  <w:style w:type="character" w:customStyle="1" w:styleId="Heading3Char">
    <w:name w:val="Heading 3 Char"/>
    <w:basedOn w:val="DefaultParagraphFont"/>
    <w:link w:val="Heading3"/>
    <w:uiPriority w:val="9"/>
    <w:rsid w:val="00BE49BB"/>
    <w:rPr>
      <w:rFonts w:eastAsiaTheme="majorEastAsia" w:cstheme="majorBidi"/>
      <w:iCs/>
      <w:color w:val="117996" w:themeColor="accent2"/>
      <w:sz w:val="24"/>
      <w:szCs w:val="24"/>
    </w:rPr>
  </w:style>
  <w:style w:type="paragraph" w:styleId="IntenseQuote">
    <w:name w:val="Intense Quote"/>
    <w:basedOn w:val="Normal"/>
    <w:next w:val="Normal"/>
    <w:link w:val="IntenseQuoteChar"/>
    <w:uiPriority w:val="30"/>
    <w:qFormat/>
    <w:rsid w:val="000C5B3B"/>
    <w:pPr>
      <w:pBdr>
        <w:top w:val="single" w:sz="4" w:space="10" w:color="117996" w:themeColor="accent2"/>
        <w:bottom w:val="single" w:sz="4" w:space="10" w:color="117996" w:themeColor="accent2"/>
      </w:pBdr>
      <w:spacing w:before="360" w:after="360"/>
      <w:ind w:left="864" w:right="864"/>
      <w:jc w:val="center"/>
    </w:pPr>
    <w:rPr>
      <w:i/>
      <w:iCs/>
      <w:color w:val="117996" w:themeColor="accent2"/>
    </w:rPr>
  </w:style>
  <w:style w:type="character" w:customStyle="1" w:styleId="IntenseQuoteChar">
    <w:name w:val="Intense Quote Char"/>
    <w:basedOn w:val="DefaultParagraphFont"/>
    <w:link w:val="IntenseQuote"/>
    <w:uiPriority w:val="30"/>
    <w:rsid w:val="000C5B3B"/>
    <w:rPr>
      <w:i/>
      <w:iCs/>
      <w:color w:val="117996" w:themeColor="accent2"/>
      <w:sz w:val="20"/>
      <w:szCs w:val="20"/>
    </w:rPr>
  </w:style>
  <w:style w:type="paragraph" w:styleId="BodyText">
    <w:name w:val="Body Text"/>
    <w:basedOn w:val="Normal"/>
    <w:next w:val="Normal"/>
    <w:link w:val="BodyTextChar"/>
    <w:uiPriority w:val="1"/>
    <w:semiHidden/>
    <w:unhideWhenUsed/>
    <w:qFormat/>
    <w:rsid w:val="00000D50"/>
  </w:style>
  <w:style w:type="paragraph" w:styleId="Caption">
    <w:name w:val="caption"/>
    <w:basedOn w:val="Normal"/>
    <w:next w:val="Normal"/>
    <w:uiPriority w:val="35"/>
    <w:semiHidden/>
    <w:unhideWhenUsed/>
    <w:qFormat/>
    <w:rsid w:val="00000D50"/>
    <w:pPr>
      <w:spacing w:after="200" w:line="240" w:lineRule="auto"/>
    </w:pPr>
    <w:rPr>
      <w:i/>
      <w:iCs/>
      <w:color w:val="117996" w:themeColor="accent2"/>
      <w:sz w:val="18"/>
      <w:szCs w:val="18"/>
    </w:rPr>
  </w:style>
  <w:style w:type="character" w:customStyle="1" w:styleId="BodyTextChar">
    <w:name w:val="Body Text Char"/>
    <w:basedOn w:val="DefaultParagraphFont"/>
    <w:link w:val="BodyText"/>
    <w:uiPriority w:val="1"/>
    <w:semiHidden/>
    <w:rsid w:val="00000D50"/>
    <w:rPr>
      <w:sz w:val="20"/>
      <w:szCs w:val="20"/>
    </w:rPr>
  </w:style>
  <w:style w:type="paragraph" w:styleId="Footer">
    <w:name w:val="footer"/>
    <w:basedOn w:val="Normal"/>
    <w:link w:val="FooterChar"/>
    <w:uiPriority w:val="99"/>
    <w:unhideWhenUsed/>
    <w:rsid w:val="008D14B4"/>
    <w:pPr>
      <w:pBdr>
        <w:top w:val="single" w:sz="6" w:space="4" w:color="003E78" w:themeColor="text2"/>
      </w:pBdr>
      <w:tabs>
        <w:tab w:val="center" w:pos="4680"/>
        <w:tab w:val="right" w:pos="9360"/>
      </w:tabs>
      <w:jc w:val="right"/>
    </w:pPr>
    <w:rPr>
      <w:color w:val="003E78" w:themeColor="text2"/>
      <w:sz w:val="16"/>
    </w:rPr>
  </w:style>
  <w:style w:type="character" w:customStyle="1" w:styleId="FooterChar">
    <w:name w:val="Footer Char"/>
    <w:basedOn w:val="DefaultParagraphFont"/>
    <w:link w:val="Footer"/>
    <w:uiPriority w:val="99"/>
    <w:rsid w:val="008D14B4"/>
    <w:rPr>
      <w:color w:val="003E78" w:themeColor="text2"/>
      <w:sz w:val="16"/>
      <w:szCs w:val="20"/>
    </w:rPr>
  </w:style>
  <w:style w:type="paragraph" w:styleId="Title">
    <w:name w:val="Title"/>
    <w:basedOn w:val="Heading1"/>
    <w:next w:val="Normal"/>
    <w:link w:val="TitleChar"/>
    <w:uiPriority w:val="10"/>
    <w:qFormat/>
    <w:rsid w:val="00000D50"/>
    <w:pPr>
      <w:keepNext w:val="0"/>
      <w:keepLines w:val="0"/>
      <w:pBdr>
        <w:bottom w:val="none" w:sz="0" w:space="0" w:color="auto"/>
      </w:pBdr>
      <w:spacing w:before="0" w:after="0" w:line="240" w:lineRule="auto"/>
      <w:contextualSpacing/>
      <w:outlineLvl w:val="9"/>
    </w:pPr>
    <w:rPr>
      <w:rFonts w:cs="Times New Roman (Headings CS)"/>
      <w:bCs/>
      <w:sz w:val="56"/>
      <w:szCs w:val="56"/>
    </w:rPr>
  </w:style>
  <w:style w:type="character" w:customStyle="1" w:styleId="TitleChar">
    <w:name w:val="Title Char"/>
    <w:basedOn w:val="DefaultParagraphFont"/>
    <w:link w:val="Title"/>
    <w:uiPriority w:val="10"/>
    <w:rsid w:val="00000D50"/>
    <w:rPr>
      <w:rFonts w:asciiTheme="majorHAnsi" w:eastAsiaTheme="majorEastAsia" w:hAnsiTheme="majorHAnsi" w:cs="Times New Roman (Headings CS)"/>
      <w:b/>
      <w:bCs/>
      <w:color w:val="003E78" w:themeColor="accent1"/>
      <w:sz w:val="56"/>
      <w:szCs w:val="56"/>
    </w:rPr>
  </w:style>
  <w:style w:type="paragraph" w:styleId="ListParagraph">
    <w:name w:val="List Paragraph"/>
    <w:aliases w:val="Bullet List"/>
    <w:basedOn w:val="Normal"/>
    <w:link w:val="ListParagraphChar"/>
    <w:uiPriority w:val="34"/>
    <w:qFormat/>
    <w:rsid w:val="00000D50"/>
    <w:pPr>
      <w:numPr>
        <w:numId w:val="24"/>
      </w:numPr>
      <w:contextualSpacing/>
    </w:pPr>
  </w:style>
  <w:style w:type="character" w:customStyle="1" w:styleId="ListParagraphChar">
    <w:name w:val="List Paragraph Char"/>
    <w:aliases w:val="Bullet List Char"/>
    <w:link w:val="ListParagraph"/>
    <w:uiPriority w:val="34"/>
    <w:qFormat/>
    <w:locked/>
    <w:rsid w:val="00000D50"/>
    <w:rPr>
      <w:sz w:val="20"/>
      <w:szCs w:val="20"/>
    </w:rPr>
  </w:style>
  <w:style w:type="character" w:customStyle="1" w:styleId="Heading5Char">
    <w:name w:val="Heading 5 Char"/>
    <w:basedOn w:val="DefaultParagraphFont"/>
    <w:link w:val="Heading5"/>
    <w:uiPriority w:val="9"/>
    <w:semiHidden/>
    <w:rsid w:val="00282F2A"/>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7C1CDD"/>
    <w:rPr>
      <w:sz w:val="16"/>
    </w:rPr>
  </w:style>
  <w:style w:type="character" w:customStyle="1" w:styleId="FootnoteTextChar">
    <w:name w:val="Footnote Text Char"/>
    <w:basedOn w:val="DefaultParagraphFont"/>
    <w:link w:val="FootnoteText"/>
    <w:uiPriority w:val="99"/>
    <w:rsid w:val="007C1CDD"/>
    <w:rPr>
      <w:sz w:val="16"/>
    </w:rPr>
  </w:style>
  <w:style w:type="character" w:customStyle="1" w:styleId="Heading4Char">
    <w:name w:val="Heading 4 Char"/>
    <w:basedOn w:val="DefaultParagraphFont"/>
    <w:link w:val="Heading4"/>
    <w:uiPriority w:val="9"/>
    <w:rsid w:val="00000D50"/>
    <w:rPr>
      <w:rFonts w:asciiTheme="majorHAnsi" w:eastAsiaTheme="majorEastAsia" w:hAnsiTheme="majorHAnsi" w:cstheme="majorBidi"/>
      <w:b/>
      <w:bCs/>
      <w:sz w:val="21"/>
      <w:szCs w:val="21"/>
    </w:rPr>
  </w:style>
  <w:style w:type="paragraph" w:styleId="Header">
    <w:name w:val="header"/>
    <w:basedOn w:val="Normal"/>
    <w:link w:val="HeaderChar"/>
    <w:uiPriority w:val="99"/>
    <w:unhideWhenUsed/>
    <w:rsid w:val="007C1CDD"/>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7C1CDD"/>
    <w:rPr>
      <w:sz w:val="16"/>
    </w:rPr>
  </w:style>
  <w:style w:type="paragraph" w:styleId="NoSpacing">
    <w:name w:val="No Spacing"/>
    <w:basedOn w:val="Normal"/>
    <w:uiPriority w:val="1"/>
    <w:rsid w:val="00282F2A"/>
    <w:pPr>
      <w:spacing w:after="0"/>
    </w:pPr>
  </w:style>
  <w:style w:type="character" w:styleId="PageNumber">
    <w:name w:val="page number"/>
    <w:basedOn w:val="DefaultParagraphFont"/>
    <w:uiPriority w:val="99"/>
    <w:semiHidden/>
    <w:unhideWhenUsed/>
    <w:rsid w:val="007C1CDD"/>
    <w:rPr>
      <w:rFonts w:asciiTheme="minorHAnsi" w:hAnsiTheme="minorHAnsi"/>
      <w:color w:val="003E78" w:themeColor="accent1"/>
      <w:sz w:val="16"/>
    </w:rPr>
  </w:style>
  <w:style w:type="character" w:styleId="FootnoteReference">
    <w:name w:val="footnote reference"/>
    <w:basedOn w:val="DefaultParagraphFont"/>
    <w:uiPriority w:val="99"/>
    <w:unhideWhenUsed/>
    <w:rsid w:val="007C1CDD"/>
    <w:rPr>
      <w:vertAlign w:val="superscript"/>
    </w:rPr>
  </w:style>
  <w:style w:type="character" w:customStyle="1" w:styleId="Heading6Char">
    <w:name w:val="Heading 6 Char"/>
    <w:basedOn w:val="DefaultParagraphFont"/>
    <w:link w:val="Heading6"/>
    <w:uiPriority w:val="9"/>
    <w:semiHidden/>
    <w:rsid w:val="00000D50"/>
    <w:rPr>
      <w:rFonts w:asciiTheme="majorHAnsi" w:eastAsiaTheme="majorEastAsia" w:hAnsiTheme="majorHAnsi" w:cstheme="majorBidi"/>
      <w:sz w:val="20"/>
      <w:szCs w:val="20"/>
    </w:rPr>
  </w:style>
  <w:style w:type="character" w:customStyle="1" w:styleId="Heading7Char">
    <w:name w:val="Heading 7 Char"/>
    <w:basedOn w:val="DefaultParagraphFont"/>
    <w:link w:val="Heading7"/>
    <w:uiPriority w:val="9"/>
    <w:semiHidden/>
    <w:rsid w:val="00000D50"/>
    <w:rPr>
      <w:rFonts w:asciiTheme="majorHAnsi" w:eastAsiaTheme="majorEastAsia" w:hAnsiTheme="majorHAnsi" w:cstheme="majorBidi"/>
      <w:i/>
      <w:iCs/>
      <w:sz w:val="20"/>
      <w:szCs w:val="20"/>
    </w:rPr>
  </w:style>
  <w:style w:type="paragraph" w:styleId="Subtitle">
    <w:name w:val="Subtitle"/>
    <w:basedOn w:val="Normal"/>
    <w:next w:val="Normal"/>
    <w:link w:val="SubtitleChar"/>
    <w:uiPriority w:val="11"/>
    <w:qFormat/>
    <w:rsid w:val="000C5B3B"/>
    <w:pPr>
      <w:numPr>
        <w:ilvl w:val="1"/>
      </w:numPr>
    </w:pPr>
    <w:rPr>
      <w:rFonts w:eastAsiaTheme="minorEastAsia" w:cs="Times New Roman (Body CS)"/>
      <w:color w:val="117996" w:themeColor="accent2"/>
      <w:sz w:val="32"/>
      <w:szCs w:val="32"/>
    </w:rPr>
  </w:style>
  <w:style w:type="character" w:customStyle="1" w:styleId="SubtitleChar">
    <w:name w:val="Subtitle Char"/>
    <w:basedOn w:val="DefaultParagraphFont"/>
    <w:link w:val="Subtitle"/>
    <w:uiPriority w:val="11"/>
    <w:rsid w:val="000C5B3B"/>
    <w:rPr>
      <w:rFonts w:eastAsiaTheme="minorEastAsia" w:cs="Times New Roman (Body CS)"/>
      <w:color w:val="117996" w:themeColor="accent2"/>
      <w:sz w:val="32"/>
      <w:szCs w:val="32"/>
    </w:rPr>
  </w:style>
  <w:style w:type="paragraph" w:styleId="ListNumber">
    <w:name w:val="List Number"/>
    <w:aliases w:val="Numbered List"/>
    <w:basedOn w:val="ListParagraph"/>
    <w:uiPriority w:val="99"/>
    <w:unhideWhenUsed/>
    <w:qFormat/>
    <w:rsid w:val="00000D50"/>
    <w:pPr>
      <w:numPr>
        <w:numId w:val="23"/>
      </w:numPr>
    </w:pPr>
  </w:style>
  <w:style w:type="numbering" w:customStyle="1" w:styleId="CurrentList1">
    <w:name w:val="Current List1"/>
    <w:uiPriority w:val="99"/>
    <w:rsid w:val="005E76AB"/>
    <w:pPr>
      <w:numPr>
        <w:numId w:val="21"/>
      </w:numPr>
    </w:pPr>
  </w:style>
  <w:style w:type="table" w:styleId="TableGrid">
    <w:name w:val="Table Grid"/>
    <w:basedOn w:val="TableNormal"/>
    <w:uiPriority w:val="39"/>
    <w:rsid w:val="00BE4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cottmiller/Library/Group%20Containers/UBF8T346G9.Office/User%20Content.localized/Templates.localized/CHAI%20Word%20Template.dotx" TargetMode="External"/></Relationships>
</file>

<file path=word/theme/theme1.xml><?xml version="1.0" encoding="utf-8"?>
<a:theme xmlns:a="http://schemas.openxmlformats.org/drawingml/2006/main" name="CHAI Theme">
  <a:themeElements>
    <a:clrScheme name="CHAI">
      <a:dk1>
        <a:srgbClr val="000000"/>
      </a:dk1>
      <a:lt1>
        <a:srgbClr val="FFFFFF"/>
      </a:lt1>
      <a:dk2>
        <a:srgbClr val="003E78"/>
      </a:dk2>
      <a:lt2>
        <a:srgbClr val="F2F2F2"/>
      </a:lt2>
      <a:accent1>
        <a:srgbClr val="003E78"/>
      </a:accent1>
      <a:accent2>
        <a:srgbClr val="117996"/>
      </a:accent2>
      <a:accent3>
        <a:srgbClr val="1ED37F"/>
      </a:accent3>
      <a:accent4>
        <a:srgbClr val="6EDBCD"/>
      </a:accent4>
      <a:accent5>
        <a:srgbClr val="D5E7EF"/>
      </a:accent5>
      <a:accent6>
        <a:srgbClr val="F3B71B"/>
      </a:accent6>
      <a:hlink>
        <a:srgbClr val="117996"/>
      </a:hlink>
      <a:folHlink>
        <a:srgbClr val="0A5063"/>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HAI Theme" id="{0A765B95-432F-DC47-86DD-610C7E5909FB}" vid="{7FBCF3A0-75D2-5640-BFEC-F34DE2C6A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9FC4C630651419D7B365CC03456EC" ma:contentTypeVersion="9" ma:contentTypeDescription="Create a new document." ma:contentTypeScope="" ma:versionID="a12e82e3e249390ca816527d428fff33">
  <xsd:schema xmlns:xsd="http://www.w3.org/2001/XMLSchema" xmlns:xs="http://www.w3.org/2001/XMLSchema" xmlns:p="http://schemas.microsoft.com/office/2006/metadata/properties" xmlns:ns2="0d67023a-f6a9-406f-8c63-ebca628bd486" targetNamespace="http://schemas.microsoft.com/office/2006/metadata/properties" ma:root="true" ma:fieldsID="72473d5f690860b557d236d666c23bfc" ns2:_="">
    <xsd:import namespace="0d67023a-f6a9-406f-8c63-ebca628bd48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7023a-f6a9-406f-8c63-ebca628bd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1679F2-EA1B-41D1-85E5-9863DEA389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2A492B-333E-4A45-B63F-BB057FE59927}">
  <ds:schemaRefs>
    <ds:schemaRef ds:uri="http://schemas.microsoft.com/sharepoint/v3/contenttype/forms"/>
  </ds:schemaRefs>
</ds:datastoreItem>
</file>

<file path=customXml/itemProps3.xml><?xml version="1.0" encoding="utf-8"?>
<ds:datastoreItem xmlns:ds="http://schemas.openxmlformats.org/officeDocument/2006/customXml" ds:itemID="{6B840038-8845-4B1C-A0DF-352AF7ED5D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7023a-f6a9-406f-8c63-ebca628bd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CHAI Word Template.dotx</Template>
  <TotalTime>0</TotalTime>
  <Pages>1</Pages>
  <Words>22</Words>
  <Characters>129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Scott Miller</cp:lastModifiedBy>
  <cp:revision>3</cp:revision>
  <dcterms:created xsi:type="dcterms:W3CDTF">2023-05-24T18:14:00Z</dcterms:created>
  <dcterms:modified xsi:type="dcterms:W3CDTF">2026-07-06T17:49:00Z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0x010100F719FC4C630651419D7B365CC03456EC</vt:lpwstr>
  </property>
</Properties>
</file>