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25EAF" w:rsidRDefault="00B25EAF">
      <w:pPr>
        <w:spacing w:before="80" w:after="80"/>
      </w:pPr>
    </w:p>
    <w:p w:rsidR="00B25EAF" w:rsidRDefault="00B25EAF">
      <w:pPr>
        <w:spacing w:before="80" w:after="80"/>
      </w:pPr>
    </w:p>
    <w:p w:rsidR="00B25EAF" w:rsidRDefault="00B25EAF">
      <w:pPr>
        <w:spacing w:before="80" w:after="80"/>
      </w:pPr>
    </w:p>
    <w:p w:rsidR="00B25EAF" w:rsidRDefault="00000000">
      <w:pPr>
        <w:spacing w:after="120"/>
        <w:jc w:val="center"/>
      </w:pPr>
      <w:r>
        <w:rPr>
          <w:b/>
          <w:bCs/>
          <w:color w:val="1F4E79"/>
          <w:sz w:val="56"/>
          <w:szCs w:val="56"/>
        </w:rPr>
        <w:t>AdventureWorks 2022</w:t>
      </w:r>
    </w:p>
    <w:p w:rsidR="00B25EAF" w:rsidRDefault="00000000">
      <w:pPr>
        <w:spacing w:after="80"/>
        <w:jc w:val="center"/>
      </w:pPr>
      <w:r>
        <w:rPr>
          <w:b/>
          <w:bCs/>
          <w:color w:val="2E75B6"/>
          <w:sz w:val="40"/>
          <w:szCs w:val="40"/>
        </w:rPr>
        <w:t>Exploratory Data Analysis</w:t>
      </w:r>
    </w:p>
    <w:p w:rsidR="00B25EAF" w:rsidRDefault="00000000">
      <w:pPr>
        <w:spacing w:after="80"/>
        <w:jc w:val="center"/>
      </w:pPr>
      <w:r>
        <w:rPr>
          <w:color w:val="666666"/>
          <w:sz w:val="28"/>
          <w:szCs w:val="28"/>
        </w:rPr>
        <w:t>Phase 2 — Univariate Analysis &amp; Findings</w:t>
      </w:r>
    </w:p>
    <w:p w:rsidR="00B25EAF" w:rsidRDefault="00B25EAF">
      <w:pPr>
        <w:spacing w:before="80" w:after="80"/>
      </w:pPr>
    </w:p>
    <w:p w:rsidR="00B25EAF" w:rsidRDefault="00000000">
      <w:pPr>
        <w:jc w:val="center"/>
      </w:pPr>
      <w:r>
        <w:rPr>
          <w:color w:val="888888"/>
        </w:rPr>
        <w:t>Focus: Sales.SalesOrderHeader &amp; Sales.SalesOrderDetail</w:t>
      </w:r>
    </w:p>
    <w:p w:rsidR="00B25EAF" w:rsidRDefault="00000000">
      <w:pPr>
        <w:jc w:val="center"/>
      </w:pPr>
      <w:r>
        <w:rPr>
          <w:color w:val="888888"/>
        </w:rPr>
        <w:t>Tool: SQL Server Management Studio (SSMS)  |  Visualisation: Microsoft Power BI</w:t>
      </w:r>
    </w:p>
    <w:p w:rsidR="00B25EAF" w:rsidRDefault="00B25EAF">
      <w:pPr>
        <w:spacing w:before="80" w:after="80"/>
      </w:pPr>
    </w:p>
    <w:p w:rsidR="00B25EAF" w:rsidRDefault="00B25EAF">
      <w:pPr>
        <w:spacing w:before="80" w:after="80"/>
      </w:pPr>
    </w:p>
    <w:p w:rsidR="00B25EAF" w:rsidRDefault="00000000">
      <w:r>
        <w:br w:type="page"/>
      </w:r>
    </w:p>
    <w:p w:rsidR="00B25EAF" w:rsidRDefault="00000000">
      <w:pPr>
        <w:pStyle w:val="Heading1"/>
      </w:pPr>
      <w:r>
        <w:lastRenderedPageBreak/>
        <w:t>Summary of All Phase 2 Findings</w:t>
      </w:r>
    </w:p>
    <w:p w:rsidR="00B25EAF" w:rsidRDefault="00B25EAF">
      <w:pPr>
        <w:pBdr>
          <w:bottom w:val="single" w:sz="6" w:space="1" w:color="2E75B6"/>
        </w:pBdr>
        <w:spacing w:before="80" w:after="80"/>
      </w:pPr>
    </w:p>
    <w:p w:rsidR="00B25EAF" w:rsidRDefault="00B25EAF">
      <w:pPr>
        <w:spacing w:before="80" w:after="80"/>
      </w:pPr>
    </w:p>
    <w:p w:rsidR="00B25EAF" w:rsidRDefault="00000000">
      <w:pPr>
        <w:spacing w:before="80" w:after="80"/>
      </w:pPr>
      <w:r>
        <w:t>The following 10 findings were identified during Phase 2 univariate analysis:</w:t>
      </w:r>
    </w:p>
    <w:p w:rsidR="00B25EAF" w:rsidRDefault="00B25EAF">
      <w:pPr>
        <w:spacing w:before="80" w:after="80"/>
      </w:pPr>
    </w:p>
    <w:tbl>
      <w:tblPr>
        <w:tblW w:w="13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11428"/>
      </w:tblGrid>
      <w:tr w:rsidR="00B25EAF" w:rsidTr="002C346F">
        <w:tblPrEx>
          <w:tblCellMar>
            <w:top w:w="0" w:type="dxa"/>
            <w:bottom w:w="0" w:type="dxa"/>
          </w:tblCellMar>
        </w:tblPrEx>
        <w:trPr>
          <w:trHeight w:val="732"/>
        </w:trPr>
        <w:tc>
          <w:tcPr>
            <w:tcW w:w="1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5E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1</w:t>
            </w:r>
          </w:p>
        </w:tc>
        <w:tc>
          <w:tcPr>
            <w:tcW w:w="11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5EAF" w:rsidRDefault="00000000">
            <w:r>
              <w:rPr>
                <w:b/>
                <w:bCs/>
              </w:rPr>
              <w:t>Average order value is misleading — use median instead</w:t>
            </w:r>
          </w:p>
          <w:p w:rsidR="00B25EAF" w:rsidRDefault="00000000">
            <w:r>
              <w:rPr>
                <w:color w:val="444444"/>
                <w:sz w:val="20"/>
                <w:szCs w:val="20"/>
              </w:rPr>
              <w:t>Average TotalDue is 3,916 but median is 865. The average is 4.5x the median due to right skew from large B2B orders. Power BI KPI cards should display both.</w:t>
            </w:r>
          </w:p>
        </w:tc>
      </w:tr>
    </w:tbl>
    <w:p w:rsidR="00B25EAF" w:rsidRDefault="00B25EAF">
      <w:pPr>
        <w:spacing w:before="80" w:after="80"/>
      </w:pPr>
    </w:p>
    <w:tbl>
      <w:tblPr>
        <w:tblW w:w="13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2"/>
        <w:gridCol w:w="11507"/>
      </w:tblGrid>
      <w:tr w:rsidR="00B25EAF" w:rsidTr="002C346F">
        <w:tblPrEx>
          <w:tblCellMar>
            <w:top w:w="0" w:type="dxa"/>
            <w:bottom w:w="0" w:type="dxa"/>
          </w:tblCellMar>
        </w:tblPrEx>
        <w:trPr>
          <w:trHeight w:val="593"/>
        </w:trPr>
        <w:tc>
          <w:tcPr>
            <w:tcW w:w="169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5E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2</w:t>
            </w:r>
          </w:p>
        </w:tc>
        <w:tc>
          <w:tcPr>
            <w:tcW w:w="11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5EAF" w:rsidRDefault="00000000">
            <w:r>
              <w:rPr>
                <w:b/>
                <w:bCs/>
              </w:rPr>
              <w:t>87% of orders fall below the average order value</w:t>
            </w:r>
          </w:p>
          <w:p w:rsidR="00B25EAF" w:rsidRDefault="00000000">
            <w:r>
              <w:rPr>
                <w:color w:val="444444"/>
                <w:sz w:val="20"/>
                <w:szCs w:val="20"/>
              </w:rPr>
              <w:t>27,453 out of 31,465 orders are below 3,916. The average is driven by 12.8% of orders — not representative of typical customer behaviour.</w:t>
            </w:r>
          </w:p>
        </w:tc>
      </w:tr>
    </w:tbl>
    <w:p w:rsidR="00B25EAF" w:rsidRDefault="00B25EAF">
      <w:pPr>
        <w:spacing w:before="80" w:after="80"/>
      </w:pPr>
    </w:p>
    <w:tbl>
      <w:tblPr>
        <w:tblW w:w="13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8"/>
        <w:gridCol w:w="11546"/>
      </w:tblGrid>
      <w:tr w:rsidR="00B25EAF" w:rsidTr="002C346F">
        <w:tblPrEx>
          <w:tblCellMar>
            <w:top w:w="0" w:type="dxa"/>
            <w:bottom w:w="0" w:type="dxa"/>
          </w:tblCellMar>
        </w:tblPrEx>
        <w:trPr>
          <w:trHeight w:val="581"/>
        </w:trPr>
        <w:tc>
          <w:tcPr>
            <w:tcW w:w="169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5E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3</w:t>
            </w:r>
          </w:p>
        </w:tc>
        <w:tc>
          <w:tcPr>
            <w:tcW w:w="1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5EAF" w:rsidRDefault="00000000">
            <w:r>
              <w:rPr>
                <w:b/>
                <w:bCs/>
              </w:rPr>
              <w:t>Bimodal order value distribution — two customer types</w:t>
            </w:r>
          </w:p>
          <w:p w:rsidR="00B25EAF" w:rsidRDefault="00000000">
            <w:r>
              <w:rPr>
                <w:color w:val="444444"/>
                <w:sz w:val="20"/>
                <w:szCs w:val="20"/>
              </w:rPr>
              <w:t>Two distinct peaks at 0-500 (41%) and 1,001-5,000 (39%) confirm online retail and B2B wholesale customers behave completely differently in the same dataset.</w:t>
            </w:r>
          </w:p>
        </w:tc>
      </w:tr>
    </w:tbl>
    <w:p w:rsidR="00B25EAF" w:rsidRDefault="00B25EAF">
      <w:pPr>
        <w:spacing w:before="80" w:after="80"/>
      </w:pPr>
    </w:p>
    <w:tbl>
      <w:tblPr>
        <w:tblW w:w="132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1572"/>
      </w:tblGrid>
      <w:tr w:rsidR="00B25EAF" w:rsidTr="002C346F">
        <w:tblPrEx>
          <w:tblCellMar>
            <w:top w:w="0" w:type="dxa"/>
            <w:bottom w:w="0" w:type="dxa"/>
          </w:tblCellMar>
        </w:tblPrEx>
        <w:trPr>
          <w:trHeight w:val="732"/>
        </w:trPr>
        <w:tc>
          <w:tcPr>
            <w:tcW w:w="170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5E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4</w:t>
            </w:r>
          </w:p>
        </w:tc>
        <w:tc>
          <w:tcPr>
            <w:tcW w:w="11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5EAF" w:rsidRDefault="00000000">
            <w:r>
              <w:rPr>
                <w:b/>
                <w:bCs/>
              </w:rPr>
              <w:t>Discounts are rare but significant when applied</w:t>
            </w:r>
          </w:p>
          <w:p w:rsidR="00B25EAF" w:rsidRDefault="00000000">
            <w:r>
              <w:rPr>
                <w:color w:val="444444"/>
                <w:sz w:val="20"/>
                <w:szCs w:val="20"/>
              </w:rPr>
              <w:t>Only 2.7% of line items (3,282 of 121,317) receive any discount. When applied, average discount is 10.44% ranging up to 40%. Discounting is a selective commercial tool.</w:t>
            </w:r>
          </w:p>
        </w:tc>
      </w:tr>
    </w:tbl>
    <w:p w:rsidR="00B25EAF" w:rsidRDefault="00B25EAF">
      <w:pPr>
        <w:spacing w:before="80" w:after="80"/>
      </w:pPr>
    </w:p>
    <w:tbl>
      <w:tblPr>
        <w:tblW w:w="13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3"/>
        <w:gridCol w:w="11585"/>
      </w:tblGrid>
      <w:tr w:rsidR="00B25EAF" w:rsidTr="002C346F">
        <w:tblPrEx>
          <w:tblCellMar>
            <w:top w:w="0" w:type="dxa"/>
            <w:bottom w:w="0" w:type="dxa"/>
          </w:tblCellMar>
        </w:tblPrEx>
        <w:trPr>
          <w:trHeight w:val="757"/>
        </w:trPr>
        <w:tc>
          <w:tcPr>
            <w:tcW w:w="170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5E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5</w:t>
            </w:r>
          </w:p>
        </w:tc>
        <w:tc>
          <w:tcPr>
            <w:tcW w:w="11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5EAF" w:rsidRDefault="00000000">
            <w:r>
              <w:rPr>
                <w:b/>
                <w:bCs/>
              </w:rPr>
              <w:t>Typical order quantity is 1 unit</w:t>
            </w:r>
          </w:p>
          <w:p w:rsidR="00B25EAF" w:rsidRDefault="00000000">
            <w:r>
              <w:rPr>
                <w:color w:val="444444"/>
                <w:sz w:val="20"/>
                <w:szCs w:val="20"/>
              </w:rPr>
              <w:t>Median, mode and average all point to 1-2 units per line item. Fulfilment should be optimised for single unit picking not bulk orders.</w:t>
            </w:r>
          </w:p>
        </w:tc>
      </w:tr>
    </w:tbl>
    <w:p w:rsidR="00B25EAF" w:rsidRDefault="00B25EAF">
      <w:pPr>
        <w:spacing w:before="80" w:after="80"/>
      </w:pPr>
    </w:p>
    <w:tbl>
      <w:tblPr>
        <w:tblW w:w="13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7"/>
        <w:gridCol w:w="11611"/>
      </w:tblGrid>
      <w:tr w:rsidR="00B25EAF" w:rsidTr="002C346F">
        <w:tblPrEx>
          <w:tblCellMar>
            <w:top w:w="0" w:type="dxa"/>
            <w:bottom w:w="0" w:type="dxa"/>
          </w:tblCellMar>
        </w:tblPrEx>
        <w:trPr>
          <w:trHeight w:val="947"/>
        </w:trPr>
        <w:tc>
          <w:tcPr>
            <w:tcW w:w="170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5E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Finding 6</w:t>
            </w:r>
          </w:p>
        </w:tc>
        <w:tc>
          <w:tcPr>
            <w:tcW w:w="11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5EAF" w:rsidRDefault="00000000">
            <w:r>
              <w:rPr>
                <w:b/>
                <w:bCs/>
              </w:rPr>
              <w:t>Active product median price is 333 — premium positioning</w:t>
            </w:r>
          </w:p>
          <w:p w:rsidR="00B25EAF" w:rsidRDefault="00000000">
            <w:r>
              <w:rPr>
                <w:color w:val="444444"/>
                <w:sz w:val="20"/>
                <w:szCs w:val="20"/>
              </w:rPr>
              <w:t>206 active products with prices range from 2.29 to 2,443. Median 333 confirms AdventureWorks as a premium brand. Average (635) is inflated by luxury bikes.</w:t>
            </w:r>
          </w:p>
        </w:tc>
      </w:tr>
    </w:tbl>
    <w:p w:rsidR="00B25EAF" w:rsidRDefault="00B25EAF">
      <w:pPr>
        <w:spacing w:before="80" w:after="80"/>
      </w:pPr>
    </w:p>
    <w:tbl>
      <w:tblPr>
        <w:tblW w:w="133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7"/>
        <w:gridCol w:w="11677"/>
      </w:tblGrid>
      <w:tr w:rsidR="00B25EAF" w:rsidTr="002C346F">
        <w:tblPrEx>
          <w:tblCellMar>
            <w:top w:w="0" w:type="dxa"/>
            <w:bottom w:w="0" w:type="dxa"/>
          </w:tblCellMar>
        </w:tblPrEx>
        <w:trPr>
          <w:trHeight w:val="802"/>
        </w:trPr>
        <w:tc>
          <w:tcPr>
            <w:tcW w:w="171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5E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7</w:t>
            </w:r>
          </w:p>
        </w:tc>
        <w:tc>
          <w:tcPr>
            <w:tcW w:w="1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5EAF" w:rsidRDefault="00000000">
            <w:r>
              <w:rPr>
                <w:b/>
                <w:bCs/>
              </w:rPr>
              <w:t>Premium is the largest product tier at 32.5%</w:t>
            </w:r>
          </w:p>
          <w:p w:rsidR="00B25EAF" w:rsidRDefault="00000000">
            <w:r>
              <w:rPr>
                <w:color w:val="444444"/>
                <w:sz w:val="20"/>
                <w:szCs w:val="20"/>
              </w:rPr>
              <w:t>67 products fall in the 500-1,500 range. Near-equal budget (31.6%) and premium (32.5%) split indicates a barbell product strategy — serving two segments with limited mid-range.</w:t>
            </w:r>
          </w:p>
        </w:tc>
      </w:tr>
    </w:tbl>
    <w:p w:rsidR="00B25EAF" w:rsidRDefault="00B25EAF">
      <w:pPr>
        <w:spacing w:before="80" w:after="80"/>
      </w:pPr>
    </w:p>
    <w:tbl>
      <w:tblPr>
        <w:tblW w:w="13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1703"/>
      </w:tblGrid>
      <w:tr w:rsidR="00B25EAF" w:rsidTr="002C346F">
        <w:tblPrEx>
          <w:tblCellMar>
            <w:top w:w="0" w:type="dxa"/>
            <w:bottom w:w="0" w:type="dxa"/>
          </w:tblCellMar>
        </w:tblPrEx>
        <w:trPr>
          <w:trHeight w:val="783"/>
        </w:trPr>
        <w:tc>
          <w:tcPr>
            <w:tcW w:w="172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5E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8</w:t>
            </w:r>
          </w:p>
        </w:tc>
        <w:tc>
          <w:tcPr>
            <w:tcW w:w="11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5EAF" w:rsidRDefault="00000000">
            <w:r>
              <w:rPr>
                <w:b/>
                <w:bCs/>
              </w:rPr>
              <w:t>Shipping time has no analytical value</w:t>
            </w:r>
          </w:p>
          <w:p w:rsidR="00B25EAF" w:rsidRDefault="00000000">
            <w:r>
              <w:rPr>
                <w:color w:val="444444"/>
                <w:sz w:val="20"/>
                <w:szCs w:val="20"/>
              </w:rPr>
              <w:t>All orders ship in exactly 7-8 days — fixed SLA with no variation. This column will be excluded from Power BI views.</w:t>
            </w:r>
          </w:p>
        </w:tc>
      </w:tr>
    </w:tbl>
    <w:p w:rsidR="00B25EAF" w:rsidRDefault="00B25EAF">
      <w:pPr>
        <w:spacing w:before="80" w:after="80"/>
      </w:pPr>
    </w:p>
    <w:tbl>
      <w:tblPr>
        <w:tblW w:w="13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1703"/>
      </w:tblGrid>
      <w:tr w:rsidR="00B25EAF" w:rsidTr="002C346F">
        <w:tblPrEx>
          <w:tblCellMar>
            <w:top w:w="0" w:type="dxa"/>
            <w:bottom w:w="0" w:type="dxa"/>
          </w:tblCellMar>
        </w:tblPrEx>
        <w:trPr>
          <w:trHeight w:val="820"/>
        </w:trPr>
        <w:tc>
          <w:tcPr>
            <w:tcW w:w="172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5E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9</w:t>
            </w:r>
          </w:p>
        </w:tc>
        <w:tc>
          <w:tcPr>
            <w:tcW w:w="11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5EAF" w:rsidRDefault="00000000">
            <w:r>
              <w:rPr>
                <w:b/>
                <w:bCs/>
              </w:rPr>
              <w:t>Southwest territory dominates with 22% of revenue</w:t>
            </w:r>
          </w:p>
          <w:p w:rsidR="00B25EAF" w:rsidRDefault="00000000">
            <w:r>
              <w:rPr>
                <w:color w:val="444444"/>
                <w:sz w:val="20"/>
                <w:szCs w:val="20"/>
              </w:rPr>
              <w:t>Australia leads in order count but ranks 4th in revenue. Central and Northeast are pure B2B territories with tiny order counts but very high average values (22-23k).</w:t>
            </w:r>
          </w:p>
        </w:tc>
      </w:tr>
    </w:tbl>
    <w:p w:rsidR="00B25EAF" w:rsidRDefault="00B25EAF">
      <w:pPr>
        <w:spacing w:before="80" w:after="80"/>
      </w:pPr>
    </w:p>
    <w:tbl>
      <w:tblPr>
        <w:tblW w:w="13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2"/>
        <w:gridCol w:w="11781"/>
      </w:tblGrid>
      <w:tr w:rsidR="00B25EAF" w:rsidTr="002C346F">
        <w:tblPrEx>
          <w:tblCellMar>
            <w:top w:w="0" w:type="dxa"/>
            <w:bottom w:w="0" w:type="dxa"/>
          </w:tblCellMar>
        </w:tblPrEx>
        <w:trPr>
          <w:trHeight w:val="606"/>
        </w:trPr>
        <w:tc>
          <w:tcPr>
            <w:tcW w:w="173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5E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10</w:t>
            </w:r>
          </w:p>
        </w:tc>
        <w:tc>
          <w:tcPr>
            <w:tcW w:w="11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5EAF" w:rsidRDefault="00000000">
            <w:r>
              <w:rPr>
                <w:b/>
                <w:bCs/>
              </w:rPr>
              <w:t>Online channel surge began exactly July 2013</w:t>
            </w:r>
          </w:p>
          <w:p w:rsidR="00B25EAF" w:rsidRDefault="00000000">
            <w:r>
              <w:rPr>
                <w:color w:val="444444"/>
                <w:sz w:val="20"/>
                <w:szCs w:val="20"/>
              </w:rPr>
              <w:t>Orders jumped from 719 in June 2013 to 1,740 in July 2013 — a 4.5x increase in one month. This inflection point must be annotated on all Power BI time series charts.</w:t>
            </w:r>
          </w:p>
        </w:tc>
      </w:tr>
    </w:tbl>
    <w:p w:rsidR="00B25EAF" w:rsidRDefault="00B25EAF">
      <w:pPr>
        <w:spacing w:before="80" w:after="80"/>
      </w:pPr>
    </w:p>
    <w:p w:rsidR="00B25EAF" w:rsidRDefault="00B25EAF">
      <w:pPr>
        <w:spacing w:before="80" w:after="80"/>
      </w:pPr>
    </w:p>
    <w:p w:rsidR="00B25EAF" w:rsidRDefault="00B25EAF">
      <w:pPr>
        <w:spacing w:before="80" w:after="80"/>
      </w:pPr>
    </w:p>
    <w:sectPr w:rsidR="00B25EAF" w:rsidSect="002C346F"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1472F0"/>
    <w:multiLevelType w:val="hybridMultilevel"/>
    <w:tmpl w:val="7A9E7706"/>
    <w:lvl w:ilvl="0" w:tplc="A4B2BF88">
      <w:start w:val="1"/>
      <w:numFmt w:val="bullet"/>
      <w:lvlText w:val="•"/>
      <w:lvlJc w:val="left"/>
      <w:pPr>
        <w:ind w:left="720" w:hanging="360"/>
      </w:pPr>
    </w:lvl>
    <w:lvl w:ilvl="1" w:tplc="7DF00846">
      <w:numFmt w:val="decimal"/>
      <w:lvlText w:val=""/>
      <w:lvlJc w:val="left"/>
    </w:lvl>
    <w:lvl w:ilvl="2" w:tplc="E8964D94">
      <w:numFmt w:val="decimal"/>
      <w:lvlText w:val=""/>
      <w:lvlJc w:val="left"/>
    </w:lvl>
    <w:lvl w:ilvl="3" w:tplc="7682D514">
      <w:numFmt w:val="decimal"/>
      <w:lvlText w:val=""/>
      <w:lvlJc w:val="left"/>
    </w:lvl>
    <w:lvl w:ilvl="4" w:tplc="E8FEFD10">
      <w:numFmt w:val="decimal"/>
      <w:lvlText w:val=""/>
      <w:lvlJc w:val="left"/>
    </w:lvl>
    <w:lvl w:ilvl="5" w:tplc="F7B44ABC">
      <w:numFmt w:val="decimal"/>
      <w:lvlText w:val=""/>
      <w:lvlJc w:val="left"/>
    </w:lvl>
    <w:lvl w:ilvl="6" w:tplc="63007140">
      <w:numFmt w:val="decimal"/>
      <w:lvlText w:val=""/>
      <w:lvlJc w:val="left"/>
    </w:lvl>
    <w:lvl w:ilvl="7" w:tplc="42622F86">
      <w:numFmt w:val="decimal"/>
      <w:lvlText w:val=""/>
      <w:lvlJc w:val="left"/>
    </w:lvl>
    <w:lvl w:ilvl="8" w:tplc="6E2ACDAA">
      <w:numFmt w:val="decimal"/>
      <w:lvlText w:val=""/>
      <w:lvlJc w:val="left"/>
    </w:lvl>
  </w:abstractNum>
  <w:abstractNum w:abstractNumId="1" w15:restartNumberingAfterBreak="0">
    <w:nsid w:val="7E9A3745"/>
    <w:multiLevelType w:val="hybridMultilevel"/>
    <w:tmpl w:val="42EEF8F2"/>
    <w:lvl w:ilvl="0" w:tplc="FAD07F32">
      <w:start w:val="1"/>
      <w:numFmt w:val="bullet"/>
      <w:lvlText w:val="●"/>
      <w:lvlJc w:val="left"/>
      <w:pPr>
        <w:ind w:left="720" w:hanging="360"/>
      </w:pPr>
    </w:lvl>
    <w:lvl w:ilvl="1" w:tplc="0A1E6DBE">
      <w:start w:val="1"/>
      <w:numFmt w:val="bullet"/>
      <w:lvlText w:val="○"/>
      <w:lvlJc w:val="left"/>
      <w:pPr>
        <w:ind w:left="1440" w:hanging="360"/>
      </w:pPr>
    </w:lvl>
    <w:lvl w:ilvl="2" w:tplc="89282BB2">
      <w:start w:val="1"/>
      <w:numFmt w:val="bullet"/>
      <w:lvlText w:val="■"/>
      <w:lvlJc w:val="left"/>
      <w:pPr>
        <w:ind w:left="2160" w:hanging="360"/>
      </w:pPr>
    </w:lvl>
    <w:lvl w:ilvl="3" w:tplc="98E65BC0">
      <w:start w:val="1"/>
      <w:numFmt w:val="bullet"/>
      <w:lvlText w:val="●"/>
      <w:lvlJc w:val="left"/>
      <w:pPr>
        <w:ind w:left="2880" w:hanging="360"/>
      </w:pPr>
    </w:lvl>
    <w:lvl w:ilvl="4" w:tplc="5A2E1DFC">
      <w:start w:val="1"/>
      <w:numFmt w:val="bullet"/>
      <w:lvlText w:val="○"/>
      <w:lvlJc w:val="left"/>
      <w:pPr>
        <w:ind w:left="3600" w:hanging="360"/>
      </w:pPr>
    </w:lvl>
    <w:lvl w:ilvl="5" w:tplc="AB567070">
      <w:start w:val="1"/>
      <w:numFmt w:val="bullet"/>
      <w:lvlText w:val="■"/>
      <w:lvlJc w:val="left"/>
      <w:pPr>
        <w:ind w:left="4320" w:hanging="360"/>
      </w:pPr>
    </w:lvl>
    <w:lvl w:ilvl="6" w:tplc="DE24C970">
      <w:start w:val="1"/>
      <w:numFmt w:val="bullet"/>
      <w:lvlText w:val="●"/>
      <w:lvlJc w:val="left"/>
      <w:pPr>
        <w:ind w:left="5040" w:hanging="360"/>
      </w:pPr>
    </w:lvl>
    <w:lvl w:ilvl="7" w:tplc="66C0510A">
      <w:start w:val="1"/>
      <w:numFmt w:val="bullet"/>
      <w:lvlText w:val="●"/>
      <w:lvlJc w:val="left"/>
      <w:pPr>
        <w:ind w:left="5760" w:hanging="360"/>
      </w:pPr>
    </w:lvl>
    <w:lvl w:ilvl="8" w:tplc="3BF47AE0">
      <w:start w:val="1"/>
      <w:numFmt w:val="bullet"/>
      <w:lvlText w:val="●"/>
      <w:lvlJc w:val="left"/>
      <w:pPr>
        <w:ind w:left="6480" w:hanging="360"/>
      </w:pPr>
    </w:lvl>
  </w:abstractNum>
  <w:num w:numId="1" w16cid:durableId="1560557664">
    <w:abstractNumId w:val="1"/>
    <w:lvlOverride w:ilvl="0">
      <w:startOverride w:val="1"/>
    </w:lvlOverride>
  </w:num>
  <w:num w:numId="2" w16cid:durableId="15407834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EAF"/>
    <w:rsid w:val="002C346F"/>
    <w:rsid w:val="00A36340"/>
    <w:rsid w:val="00B2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86AC4"/>
  <w15:docId w15:val="{991FA84D-0C45-45D8-99CF-B9825AA2A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2026-04-13T07:36:00Z</dcterms:created>
  <dcterms:modified xsi:type="dcterms:W3CDTF">2026-04-15T04:53:00Z</dcterms:modified>
</cp:coreProperties>
</file>