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F4E79"/>
          <w:sz w:val="56"/>
          <w:szCs w:val="56"/>
        </w:rPr>
        <w:t xml:space="preserve">AdventureWorks 2022</w:t>
      </w:r>
    </w:p>
    <w:p>
      <w:pPr>
        <w:spacing w:after="80" w:before="0"/>
        <w:jc w:val="center"/>
      </w:pPr>
      <w:r>
        <w:rPr>
          <w:rFonts w:ascii="Arial" w:cs="Arial" w:eastAsia="Arial" w:hAnsi="Arial"/>
          <w:b/>
          <w:bCs/>
          <w:color w:val="2E75B6"/>
          <w:sz w:val="40"/>
          <w:szCs w:val="40"/>
        </w:rPr>
        <w:t xml:space="preserve">Exploratory Data Analysis</w:t>
      </w:r>
    </w:p>
    <w:p>
      <w:pPr>
        <w:spacing w:after="80" w:before="0"/>
        <w:jc w:val="center"/>
      </w:pPr>
      <w:r>
        <w:rPr>
          <w:rFonts w:ascii="Arial" w:cs="Arial" w:eastAsia="Arial" w:hAnsi="Arial"/>
          <w:color w:val="666666"/>
          <w:sz w:val="28"/>
          <w:szCs w:val="28"/>
        </w:rPr>
        <w:t xml:space="preserve">Phase 2 — Univariate Analysis &amp; Findings</w:t>
      </w:r>
    </w:p>
    <w:p>
      <w:pPr>
        <w:spacing w:after="80" w:before="80"/>
      </w:pPr>
      <w:r>
        <w:t xml:space="preserve"/>
      </w:r>
    </w:p>
    <w:p>
      <w:pPr>
        <w:jc w:val="center"/>
      </w:pPr>
      <w:r>
        <w:rPr>
          <w:rFonts w:ascii="Arial" w:cs="Arial" w:eastAsia="Arial" w:hAnsi="Arial"/>
          <w:color w:val="888888"/>
          <w:sz w:val="22"/>
          <w:szCs w:val="22"/>
        </w:rPr>
        <w:t xml:space="preserve">Focus: Sales.SalesOrderHeader &amp; Sales.SalesOrderDetail</w:t>
      </w:r>
    </w:p>
    <w:p>
      <w:pPr>
        <w:jc w:val="center"/>
      </w:pPr>
      <w:r>
        <w:rPr>
          <w:rFonts w:ascii="Arial" w:cs="Arial" w:eastAsia="Arial" w:hAnsi="Arial"/>
          <w:color w:val="888888"/>
          <w:sz w:val="22"/>
          <w:szCs w:val="22"/>
        </w:rPr>
        <w:t xml:space="preserve">Tool: SQL Server Management Studio (SSMS)  |  Visualisation: Microsoft Power BI</w:t>
      </w:r>
    </w:p>
    <w:p>
      <w:pPr>
        <w:spacing w:after="80" w:before="80"/>
      </w:pPr>
      <w:r>
        <w:t xml:space="preserve"/>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1. Order Value Distribution</w:t>
      </w:r>
    </w:p>
    <w:p>
      <w:pPr>
        <w:pBdr>
          <w:bottom w:val="single" w:color="2E75B6" w:sz="6" w:space="1"/>
        </w:pBd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1.1 Basic Statistics — TotalDue</w:t>
      </w:r>
    </w:p>
    <w:p>
      <w:pPr>
        <w:spacing w:after="80" w:before="80"/>
      </w:pPr>
      <w:r>
        <w:rPr>
          <w:rFonts w:ascii="Arial" w:cs="Arial" w:eastAsia="Arial" w:hAnsi="Arial"/>
          <w:sz w:val="22"/>
          <w:szCs w:val="22"/>
        </w:rPr>
        <w:t xml:space="preserve">A full statistical profile of the TotalDue column in Sales.SalesOrderHeader (31,465 total orders) was calculated to understand the shape and spread of order values.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Statistic</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Minimum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£1.52</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Smallest order ever placed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£187,488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Largest single order — likely large B2B contract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Average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£3,916</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Inflated by large outliers — misleading as a KPI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typical order value — 50% of orders below this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Standard Deviation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£12,515</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3x the average — confirms extreme spread in values</w:t>
            </w:r>
          </w:p>
        </w:tc>
      </w:tr>
    </w:tbl>
    <w:p>
      <w:pPr>
        <w:spacing w:after="80" w:before="80"/>
      </w:pPr>
      <w:r>
        <w:t xml:space="preserve"/>
      </w:r>
    </w:p>
    <w:p>
      <w:pPr>
        <w:spacing w:after="80" w:before="80"/>
      </w:pPr>
      <w:r>
        <w:rPr>
          <w:rFonts w:ascii="Arial" w:cs="Arial" w:eastAsia="Arial" w:hAnsi="Arial"/>
          <w:b/>
          <w:bCs/>
          <w:color w:val="C00000"/>
          <w:sz w:val="22"/>
          <w:szCs w:val="22"/>
        </w:rPr>
        <w:t xml:space="preserve">CRITICAL for Power BI: The average (£3,916) is 4.5x higher than the median (£865). The standard deviation is 3x the average. Both indicate severe right skew — the average is not a reliable KPI. Power BI dashboards must show both average AND median to give an honest picture.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1.2 Orders Above vs Below Average</w:t>
      </w:r>
    </w:p>
    <w:p>
      <w:pPr>
        <w:spacing w:after="80" w:before="80"/>
      </w:pPr>
      <w:r>
        <w:rPr>
          <w:rFonts w:ascii="Arial" w:cs="Arial" w:eastAsia="Arial" w:hAnsi="Arial"/>
          <w:sz w:val="22"/>
          <w:szCs w:val="22"/>
        </w:rPr>
        <w:t xml:space="preserve">To quantify the skew, orders were split by whether they fall above or below the average order value of £3,916.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Order Count</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Below or equal to average (£3,916)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27,453</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87.2%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 average (£3,916)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r>
    </w:tbl>
    <w:p>
      <w:pPr>
        <w:spacing w:after="80" w:before="80"/>
      </w:pPr>
      <w:r>
        <w:t xml:space="preserve"/>
      </w:r>
    </w:p>
    <w:p>
      <w:pPr>
        <w:spacing w:after="80" w:before="80"/>
      </w:pPr>
      <w:r>
        <w:rPr>
          <w:rFonts w:ascii="Arial" w:cs="Arial" w:eastAsia="Arial" w:hAnsi="Arial"/>
          <w:color w:val="2E75B6"/>
          <w:sz w:val="22"/>
          <w:szCs w:val="22"/>
        </w:rPr>
        <w:t xml:space="preserve">87% of orders fall below the average. This is the classic signature of a right-skewed distribution — a small number of very large B2B orders are pulling the average well above what a typical order looks like.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1.3 Order Value Buckets</w:t>
      </w:r>
    </w:p>
    <w:p>
      <w:pPr>
        <w:spacing w:after="80" w:before="80"/>
      </w:pPr>
      <w:r>
        <w:rPr>
          <w:rFonts w:ascii="Arial" w:cs="Arial" w:eastAsia="Arial" w:hAnsi="Arial"/>
          <w:sz w:val="22"/>
          <w:szCs w:val="22"/>
        </w:rPr>
        <w:t xml:space="preserve">Orders were grouped into 5 price bands to visualise the distribution for Power BI histogram charts.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Order Count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Insight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 — £500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12,918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41.1%</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Online retail — high volume, low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 — £1,000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 online orders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£1,001 — £5,000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12,183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38.7%</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Sales rep driven orders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£5,001 — £20,000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business accounts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£20,001 and above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1,581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Major B2B contracts — outliers</w:t>
            </w:r>
          </w:p>
        </w:tc>
      </w:tr>
    </w:tbl>
    <w:p>
      <w:pPr>
        <w:spacing w:after="80" w:before="80"/>
      </w:pPr>
      <w:r>
        <w:t xml:space="preserve"/>
      </w:r>
    </w:p>
    <w:p>
      <w:pPr>
        <w:spacing w:after="80" w:before="80"/>
      </w:pPr>
      <w:r>
        <w:rPr>
          <w:rFonts w:ascii="Arial" w:cs="Arial" w:eastAsia="Arial" w:hAnsi="Arial"/>
          <w:color w:val="2E75B6"/>
          <w:sz w:val="22"/>
          <w:szCs w:val="22"/>
        </w:rPr>
        <w:t xml:space="preserve">The distribution is bimodal — two distinct peaks exist at £0-500 (41%) and £1,001-5,000 (39%). This reflects two completely different customer types coexisting in the same dataset: online retail shoppers and B2B wholesale accounts.</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2. Discount Analysis</w:t>
      </w:r>
    </w:p>
    <w:p>
      <w:pPr>
        <w:pBdr>
          <w:bottom w:val="single" w:color="2E75B6" w:sz="6" w:space="1"/>
        </w:pBd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2.1 Discount Frequency — SalesOrderDetail</w:t>
      </w:r>
    </w:p>
    <w:p>
      <w:pPr>
        <w:spacing w:after="80" w:before="80"/>
      </w:pPr>
      <w:r>
        <w:rPr>
          <w:rFonts w:ascii="Arial" w:cs="Arial" w:eastAsia="Arial" w:hAnsi="Arial"/>
          <w:sz w:val="22"/>
          <w:szCs w:val="22"/>
        </w:rPr>
        <w:t xml:space="preserve">Line item discounts were analysed across all 121,317 rows in Sales.SalesOrderDetail to understand how frequently discounts are applied and at what levels.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of Lines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discount (UnitPriceDiscount = 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118,035</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97.3%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 discount (UnitPriceDiscount &gt;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3,282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Discount Statistic</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Average discount (when applied)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10.44%</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Calculated excluding zero-discount lines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discount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discount given on any line item</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Minimum discount (when applied)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Lowest non-zero discount</w:t>
            </w:r>
          </w:p>
        </w:tc>
      </w:tr>
    </w:tbl>
    <w:p>
      <w:pPr>
        <w:spacing w:after="80" w:before="80"/>
      </w:pPr>
      <w:r>
        <w:t xml:space="preserve"/>
      </w:r>
    </w:p>
    <w:p>
      <w:pPr>
        <w:spacing w:after="80" w:before="80"/>
      </w:pPr>
      <w:r>
        <w:rPr>
          <w:rFonts w:ascii="Arial" w:cs="Arial" w:eastAsia="Arial" w:hAnsi="Arial"/>
          <w:color w:val="2E75B6"/>
          <w:sz w:val="22"/>
          <w:szCs w:val="22"/>
        </w:rPr>
        <w:t xml:space="preserve">Discounts are extremely rare — only 2.7% of all line items receive any discount. However when applied, the average is a significant 10.44% ranging up to 40%. This indicates discounting is a selective commercial tool used for specific accounts or bulk orders, not a routine pricing strategy.</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3. Order Quantity Distribution</w:t>
      </w:r>
    </w:p>
    <w:p>
      <w:pPr>
        <w:pBdr>
          <w:bottom w:val="single" w:color="2E75B6" w:sz="6" w:space="1"/>
        </w:pBd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3.1 OrderQty Statistics — SalesOrderDetail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Statistic</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Minimum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Single unit purchase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B2B purchase — outlier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Average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Very low average quantity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Half of all lines are single unit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Most common quantity is 1</w:t>
            </w:r>
          </w:p>
        </w:tc>
      </w:tr>
    </w:tbl>
    <w:p>
      <w:pPr>
        <w:spacing w:after="80" w:before="80"/>
      </w:pPr>
      <w:r>
        <w:t xml:space="preserve"/>
      </w:r>
    </w:p>
    <w:p>
      <w:pPr>
        <w:spacing w:after="80" w:before="80"/>
      </w:pPr>
      <w:r>
        <w:rPr>
          <w:rFonts w:ascii="Arial" w:cs="Arial" w:eastAsia="Arial" w:hAnsi="Arial"/>
          <w:color w:val="2E75B6"/>
          <w:sz w:val="22"/>
          <w:szCs w:val="22"/>
        </w:rPr>
        <w:t xml:space="preserve">Median, mode and average all converge on 1-2 units per line item. The overwhelming majority of purchases are single unit orders. The maximum of 44 units represents outlier bulk purchases. This tells us inventory and fulfilment should be optimised for single unit picking, not bulk.</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4. Product Price Distribution</w:t>
      </w:r>
    </w:p>
    <w:p>
      <w:pPr>
        <w:pBdr>
          <w:bottom w:val="single" w:color="2E75B6" w:sz="6" w:space="1"/>
        </w:pBd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4.1 Active Product Price Statistics</w:t>
      </w:r>
    </w:p>
    <w:p>
      <w:pPr>
        <w:spacing w:after="80" w:before="80"/>
      </w:pPr>
      <w:r>
        <w:rPr>
          <w:rFonts w:ascii="Arial" w:cs="Arial" w:eastAsia="Arial" w:hAnsi="Arial"/>
          <w:sz w:val="22"/>
          <w:szCs w:val="22"/>
        </w:rPr>
        <w:t xml:space="preserve">Price statistics were calculated for active products only (SellEndDate IS NULL) with a ListPrice greater than zero. This gives 206 active sellable products.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Statistic</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Active products analysed</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price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£2.29</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Maximum price</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£2,443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price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£635</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Median price</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£333</w:t>
            </w:r>
          </w:p>
        </w:tc>
      </w:tr>
    </w:tbl>
    <w:p>
      <w:pPr>
        <w:spacing w:after="80" w:before="80"/>
      </w:pPr>
      <w:r>
        <w:t xml:space="preserve"/>
      </w:r>
    </w:p>
    <w:p>
      <w:pPr>
        <w:spacing w:after="80" w:before="80"/>
      </w:pPr>
      <w:r>
        <w:rPr>
          <w:rFonts w:ascii="Arial" w:cs="Arial" w:eastAsia="Arial" w:hAnsi="Arial"/>
          <w:color w:val="2E75B6"/>
          <w:sz w:val="22"/>
          <w:szCs w:val="22"/>
        </w:rPr>
        <w:t xml:space="preserve">Average (£635) is nearly 2x the median (£333) — a similar right skew pattern to order values. A small number of high-end bikes are pulling the average up. The median of £333 is a more accurate representation of a typical product price.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Product Price Tiers</w:t>
      </w:r>
    </w:p>
    <w:p>
      <w:pPr>
        <w:spacing w:after="80" w:before="80"/>
      </w:pPr>
      <w:r>
        <w:rPr>
          <w:rFonts w:ascii="Arial" w:cs="Arial" w:eastAsia="Arial" w:hAnsi="Arial"/>
          <w:sz w:val="22"/>
          <w:szCs w:val="22"/>
        </w:rPr>
        <w:t xml:space="preserve">Active products were segmented into 4 price tiers for use as Power BI slicers.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200"/>
        <w:gridCol w:w="2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Products</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Price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of Active Products</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Budget (under £100)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31.6%</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Accessories, clothing, small parts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Mid-range (£100-£500)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level bikes and components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Premium (£500-£1,500)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67</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£948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32.5%</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Largest tier — core product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Luxury (above £1,500)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£2,258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High-end bikes — low volume, high value</w:t>
            </w:r>
          </w:p>
        </w:tc>
      </w:tr>
    </w:tbl>
    <w:p>
      <w:pPr>
        <w:spacing w:after="80" w:before="80"/>
      </w:pPr>
      <w:r>
        <w:t xml:space="preserve"/>
      </w:r>
    </w:p>
    <w:p>
      <w:pPr>
        <w:spacing w:after="80" w:before="80"/>
      </w:pPr>
      <w:r>
        <w:rPr>
          <w:rFonts w:ascii="Arial" w:cs="Arial" w:eastAsia="Arial" w:hAnsi="Arial"/>
          <w:color w:val="2E75B6"/>
          <w:sz w:val="22"/>
          <w:szCs w:val="22"/>
        </w:rPr>
        <w:t xml:space="preserve">Premium is the largest tier (32.5%) — confirming AdventureWorks is positioned as a premium brand. The near-equal split between Budget (31.6%) and Premium (32.5%) suggests the catalogue serves two distinct segments with limited mid-range offering — a classic barbell product strategy.</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5. Shipping &amp; Territory Analysis</w:t>
      </w:r>
    </w:p>
    <w:p>
      <w:pPr>
        <w:pBdr>
          <w:bottom w:val="single" w:color="2E75B6" w:sz="6" w:space="1"/>
        </w:pBd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5.1 Days to Ship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Statistic</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Minimum days to ship</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days to ship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Average days to ship</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Median days to ship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bl>
    <w:p>
      <w:pPr>
        <w:spacing w:after="80" w:before="80"/>
      </w:pPr>
      <w:r>
        <w:t xml:space="preserve"/>
      </w:r>
    </w:p>
    <w:p>
      <w:pPr>
        <w:spacing w:after="80" w:before="80"/>
      </w:pPr>
      <w:r>
        <w:rPr>
          <w:rFonts w:ascii="Arial" w:cs="Arial" w:eastAsia="Arial" w:hAnsi="Arial"/>
          <w:color w:val="2E75B6"/>
          <w:sz w:val="22"/>
          <w:szCs w:val="22"/>
        </w:rPr>
        <w:t xml:space="preserve">Shipping time shows virtually no variation — every order ships in exactly 7 or 8 days. This indicates a fixed SLA (service level agreement) with no rush or delayed shipments in the dataset. This column adds no analytical value for Power BI and will be excluded from views.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5.2 Revenue by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2200"/>
        <w:gridCol w:w="21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Territory</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Orders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Revenue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Order Value</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of Revenue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Southwest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6,224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£27,150,595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£4,362</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4,067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£18,398,929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£4,524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14.9%</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Northwest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4,594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£18,061,660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£3,932</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Australia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6,843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£11,814,376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£1,726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Central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£8,913,299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£23,151</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Southeast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£8,884,099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£18,280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United Kingdom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3,219</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£8,574,049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£2,664</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2,672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£8,119,749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£3,039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Northeast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£7,820,210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£22,217</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Germany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£5,479,820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£2,089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r>
    </w:tbl>
    <w:p>
      <w:pPr>
        <w:spacing w:after="80" w:before="80"/>
      </w:pPr>
      <w:r>
        <w:t xml:space="preserve"/>
      </w:r>
    </w:p>
    <w:p>
      <w:pPr>
        <w:spacing w:after="80" w:before="80"/>
      </w:pPr>
      <w:r>
        <w:rPr>
          <w:rFonts w:ascii="Arial" w:cs="Arial" w:eastAsia="Arial" w:hAnsi="Arial"/>
          <w:color w:val="2E75B6"/>
          <w:sz w:val="22"/>
          <w:szCs w:val="22"/>
        </w:rPr>
        <w:t xml:space="preserve">Three distinct territory patterns emerge. Southwest dominates with 22% of total revenue. Australia leads in order volume (6,843) but ranks 4th in revenue due to low average order value (£1,726) — a heavily online retail territory. Central and Northeast have very few orders (385 and 352) but extremely high average values (£23k and £22k) — pure B2B wholesale accounts generating significant revenue from very few transactions.</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6. Monthly Revenue Trend</w:t>
      </w:r>
    </w:p>
    <w:p>
      <w:pPr>
        <w:pBdr>
          <w:bottom w:val="single" w:color="2E75B6" w:sz="6" w:space="1"/>
        </w:pBd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6.1 Key Monthly Observations</w:t>
      </w:r>
    </w:p>
    <w:p>
      <w:pPr>
        <w:spacing w:after="80" w:before="80"/>
      </w:pPr>
      <w:r>
        <w:rPr>
          <w:rFonts w:ascii="Arial" w:cs="Arial" w:eastAsia="Arial" w:hAnsi="Arial"/>
          <w:sz w:val="22"/>
          <w:szCs w:val="22"/>
        </w:rPr>
        <w:t xml:space="preserve">Monthly order counts and revenue were analysed across the full date range (May 2011 to June 2014) to identify trends and inflection points.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May 2011</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43 orders — data begins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Confirms partial year finding from Phase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Oct 2011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327 orders, £5.2M revenue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seasonal spike observed</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2012 full year</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£1.6M-£4.6M monthly range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Stable baseline year for comparison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 2013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719 orders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month before online surge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Jul 2013</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1,740 orders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Online channel explosion — 4.5x jump in one month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2013 onwards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1,700-2,400 orders/month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normal after channel shift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Jun 2014</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939 orders, £54,151</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cutoff — partial month, not a revenue decline</w:t>
            </w:r>
          </w:p>
        </w:tc>
      </w:tr>
    </w:tbl>
    <w:p>
      <w:pPr>
        <w:spacing w:after="80" w:before="80"/>
      </w:pPr>
      <w:r>
        <w:t xml:space="preserve"/>
      </w:r>
    </w:p>
    <w:p>
      <w:pPr>
        <w:spacing w:after="80" w:before="80"/>
      </w:pPr>
      <w:r>
        <w:rPr>
          <w:rFonts w:ascii="Arial" w:cs="Arial" w:eastAsia="Arial" w:hAnsi="Arial"/>
          <w:b/>
          <w:bCs/>
          <w:color w:val="C00000"/>
          <w:sz w:val="22"/>
          <w:szCs w:val="22"/>
        </w:rPr>
        <w:t xml:space="preserve">CRITICAL for Power BI: The July 2013 surge from 719 to 1,740 orders must be annotated on time series charts. Without context, this looks like an anomaly. It represents the moment the online channel became the dominant sales route. June 2014 revenue of £54,151 is the data cutoff — it must be excluded from any trend analysis.</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7. Summary of All Phase 2 Findings</w:t>
      </w:r>
    </w:p>
    <w:p>
      <w:pPr>
        <w:pBdr>
          <w:bottom w:val="single" w:color="2E75B6" w:sz="6" w:space="1"/>
        </w:pBdr>
        <w:spacing w:after="80" w:before="80"/>
      </w:pPr>
      <w:r>
        <w:t xml:space="preserve"/>
      </w:r>
    </w:p>
    <w:p>
      <w:pPr>
        <w:spacing w:after="80" w:before="80"/>
      </w:pPr>
      <w:r>
        <w:t xml:space="preserve"/>
      </w:r>
    </w:p>
    <w:p>
      <w:pPr>
        <w:spacing w:after="80" w:before="80"/>
      </w:pPr>
      <w:r>
        <w:rPr>
          <w:rFonts w:ascii="Arial" w:cs="Arial" w:eastAsia="Arial" w:hAnsi="Arial"/>
          <w:sz w:val="22"/>
          <w:szCs w:val="22"/>
        </w:rPr>
        <w:t xml:space="preserve">The following 10 findings were identified during Phase 2 univariate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 1</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Average order value is misleading — use median instead</w:t>
            </w:r>
          </w:p>
          <w:p>
            <w:r>
              <w:rPr>
                <w:rFonts w:ascii="Arial" w:cs="Arial" w:eastAsia="Arial" w:hAnsi="Arial"/>
                <w:color w:val="444444"/>
                <w:sz w:val="20"/>
                <w:szCs w:val="20"/>
              </w:rPr>
              <w:t xml:space="preserve">Average TotalDue is £3,916 but median is £865. The average is 4.5x the median due to right skew from large B2B orders. Power BI KPI cards should display both.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 2</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87% of orders fall below the average order value</w:t>
            </w:r>
          </w:p>
          <w:p>
            <w:r>
              <w:rPr>
                <w:rFonts w:ascii="Arial" w:cs="Arial" w:eastAsia="Arial" w:hAnsi="Arial"/>
                <w:color w:val="444444"/>
                <w:sz w:val="20"/>
                <w:szCs w:val="20"/>
              </w:rPr>
              <w:t xml:space="preserve">27,453 out of 31,465 orders are below £3,916. The average is driven by 12.8% of orders — not representative of typical customer behaviour.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 3</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Bimodal order value distribution — two customer types</w:t>
            </w:r>
          </w:p>
          <w:p>
            <w:r>
              <w:rPr>
                <w:rFonts w:ascii="Arial" w:cs="Arial" w:eastAsia="Arial" w:hAnsi="Arial"/>
                <w:color w:val="444444"/>
                <w:sz w:val="20"/>
                <w:szCs w:val="20"/>
              </w:rPr>
              <w:t xml:space="preserve">Two distinct peaks at £0-500 (41%) and £1,001-5,000 (39%) confirm online retail and B2B wholesale customers behave completely differently in the same dataset.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 4</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Discounts are rare but significant when applied</w:t>
            </w:r>
          </w:p>
          <w:p>
            <w:r>
              <w:rPr>
                <w:rFonts w:ascii="Arial" w:cs="Arial" w:eastAsia="Arial" w:hAnsi="Arial"/>
                <w:color w:val="444444"/>
                <w:sz w:val="20"/>
                <w:szCs w:val="20"/>
              </w:rPr>
              <w:t xml:space="preserve">Only 2.7% of line items (3,282 of 121,317) receive any discount. When applied, average discount is 10.44% ranging up to 40%. Discounting is a selective commercial tool.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 5</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Typical order quantity is 1 unit</w:t>
            </w:r>
          </w:p>
          <w:p>
            <w:r>
              <w:rPr>
                <w:rFonts w:ascii="Arial" w:cs="Arial" w:eastAsia="Arial" w:hAnsi="Arial"/>
                <w:color w:val="444444"/>
                <w:sz w:val="20"/>
                <w:szCs w:val="20"/>
              </w:rPr>
              <w:t xml:space="preserve">Median, mode and average all point to 1-2 units per line item. Fulfilment should be optimised for single unit picking not bulk orders.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 6</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Active product median price is £333 — premium positioning</w:t>
            </w:r>
          </w:p>
          <w:p>
            <w:r>
              <w:rPr>
                <w:rFonts w:ascii="Arial" w:cs="Arial" w:eastAsia="Arial" w:hAnsi="Arial"/>
                <w:color w:val="444444"/>
                <w:sz w:val="20"/>
                <w:szCs w:val="20"/>
              </w:rPr>
              <w:t xml:space="preserve">206 active products with prices range from £2.29 to £2,443. Median £333 confirms AdventureWorks as a premium brand. Average (£635) is inflated by luxury bikes.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 7</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Premium is the largest product tier at 32.5%</w:t>
            </w:r>
          </w:p>
          <w:p>
            <w:r>
              <w:rPr>
                <w:rFonts w:ascii="Arial" w:cs="Arial" w:eastAsia="Arial" w:hAnsi="Arial"/>
                <w:color w:val="444444"/>
                <w:sz w:val="20"/>
                <w:szCs w:val="20"/>
              </w:rPr>
              <w:t xml:space="preserve">67 products fall in the £500-£1,500 range. Near-equal budget (31.6%) and premium (32.5%) split indicates a barbell product strategy — serving two segments with limited mid-range.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 8</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Shipping time has no analytical value</w:t>
            </w:r>
          </w:p>
          <w:p>
            <w:r>
              <w:rPr>
                <w:rFonts w:ascii="Arial" w:cs="Arial" w:eastAsia="Arial" w:hAnsi="Arial"/>
                <w:color w:val="444444"/>
                <w:sz w:val="20"/>
                <w:szCs w:val="20"/>
              </w:rPr>
              <w:t xml:space="preserve">All orders ship in exactly 7-8 days — fixed SLA with no variation. This column will be excluded from Power BI views.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 9</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Southwest territory dominates with 22% of revenue</w:t>
            </w:r>
          </w:p>
          <w:p>
            <w:r>
              <w:rPr>
                <w:rFonts w:ascii="Arial" w:cs="Arial" w:eastAsia="Arial" w:hAnsi="Arial"/>
                <w:color w:val="444444"/>
                <w:sz w:val="20"/>
                <w:szCs w:val="20"/>
              </w:rPr>
              <w:t xml:space="preserve">Australia leads in order count but ranks 4th in revenue. Central and Northeast are pure B2B territories with tiny order counts but very high average values (£22-23k).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 10</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Online channel surge began exactly July 2013</w:t>
            </w:r>
          </w:p>
          <w:p>
            <w:r>
              <w:rPr>
                <w:rFonts w:ascii="Arial" w:cs="Arial" w:eastAsia="Arial" w:hAnsi="Arial"/>
                <w:color w:val="444444"/>
                <w:sz w:val="20"/>
                <w:szCs w:val="20"/>
              </w:rPr>
              <w:t xml:space="preserve">Orders jumped from 719 in June 2013 to 1,740 in July 2013 — a 4.5x increase in one month. This inflection point must be annotated on all Power BI time series charts.</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4E79"/>
          <w:sz w:val="32"/>
          <w:szCs w:val="32"/>
        </w:rPr>
        <w:t xml:space="preserve">8. Next Steps — Phase 3</w:t>
      </w:r>
    </w:p>
    <w:p>
      <w:pPr>
        <w:pBdr>
          <w:bottom w:val="single" w:color="2E75B6" w:sz="6" w:space="1"/>
        </w:pBdr>
        <w:spacing w:after="80" w:before="80"/>
      </w:pPr>
      <w:r>
        <w:t xml:space="preserve"/>
      </w:r>
    </w:p>
    <w:p>
      <w:pPr>
        <w:spacing w:after="80" w:before="80"/>
      </w:pPr>
      <w:r>
        <w:t xml:space="preserve"/>
      </w:r>
    </w:p>
    <w:p>
      <w:pPr>
        <w:spacing w:after="80" w:before="80"/>
      </w:pPr>
      <w:r>
        <w:rPr>
          <w:rFonts w:ascii="Arial" w:cs="Arial" w:eastAsia="Arial" w:hAnsi="Arial"/>
          <w:sz w:val="22"/>
          <w:szCs w:val="22"/>
        </w:rPr>
        <w:t xml:space="preserve">Phase 3 will cover Bivariate Analysis — exploring relationships between two variables at a time: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Revenue vs territory — which territories drive disproportionate value?</w:t>
      </w:r>
    </w:p>
    <w:p>
      <w:pPr>
        <w:pStyle w:val="ListParagraph"/>
        <w:numPr>
          <w:ilvl w:val="0"/>
          <w:numId w:val="2"/>
        </w:numPr>
        <w:spacing w:after="60" w:before="60"/>
      </w:pPr>
      <w:r>
        <w:rPr>
          <w:rFonts w:ascii="Arial" w:cs="Arial" w:eastAsia="Arial" w:hAnsi="Arial"/>
          <w:sz w:val="22"/>
          <w:szCs w:val="22"/>
        </w:rPr>
        <w:t xml:space="preserve">Discount vs order value — do discounts actually increase order size?</w:t>
      </w:r>
    </w:p>
    <w:p>
      <w:pPr>
        <w:pStyle w:val="ListParagraph"/>
        <w:numPr>
          <w:ilvl w:val="0"/>
          <w:numId w:val="2"/>
        </w:numPr>
        <w:spacing w:after="60" w:before="60"/>
      </w:pPr>
      <w:r>
        <w:rPr>
          <w:rFonts w:ascii="Arial" w:cs="Arial" w:eastAsia="Arial" w:hAnsi="Arial"/>
          <w:sz w:val="22"/>
          <w:szCs w:val="22"/>
        </w:rPr>
        <w:t xml:space="preserve">Channel vs product category — do online customers buy different products?</w:t>
      </w:r>
    </w:p>
    <w:p>
      <w:pPr>
        <w:pStyle w:val="ListParagraph"/>
        <w:numPr>
          <w:ilvl w:val="0"/>
          <w:numId w:val="2"/>
        </w:numPr>
        <w:spacing w:after="60" w:before="60"/>
      </w:pPr>
      <w:r>
        <w:rPr>
          <w:rFonts w:ascii="Arial" w:cs="Arial" w:eastAsia="Arial" w:hAnsi="Arial"/>
          <w:sz w:val="22"/>
          <w:szCs w:val="22"/>
        </w:rPr>
        <w:t xml:space="preserve">Order value vs customer type — individual vs store spending patterns</w:t>
      </w:r>
    </w:p>
    <w:p>
      <w:pPr>
        <w:pStyle w:val="ListParagraph"/>
        <w:numPr>
          <w:ilvl w:val="0"/>
          <w:numId w:val="2"/>
        </w:numPr>
        <w:spacing w:after="60" w:before="60"/>
      </w:pPr>
      <w:r>
        <w:rPr>
          <w:rFonts w:ascii="Arial" w:cs="Arial" w:eastAsia="Arial" w:hAnsi="Arial"/>
          <w:sz w:val="22"/>
          <w:szCs w:val="22"/>
        </w:rPr>
        <w:t xml:space="preserve">Seasonality deep dive — which months consistently perform best across years?</w:t>
      </w:r>
    </w:p>
    <w:p>
      <w:pPr>
        <w:spacing w:after="80" w:before="80"/>
      </w:pPr>
      <w:r>
        <w:t xml:space="preserve"/>
      </w:r>
    </w:p>
    <w:p>
      <w:pPr>
        <w:spacing w:after="80" w:before="80"/>
      </w:pPr>
      <w:r>
        <w:rPr>
          <w:rFonts w:ascii="Arial" w:cs="Arial" w:eastAsia="Arial" w:hAnsi="Arial"/>
          <w:color w:val="888888"/>
          <w:sz w:val="22"/>
          <w:szCs w:val="22"/>
        </w:rPr>
        <w:t xml:space="preserve">After Phase 3, all confirmed insights will be used to design the Power BI views.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2026-04-13T07:36:31.976Z</dcterms:created>
  <dcterms:modified xsi:type="dcterms:W3CDTF">2026-04-13T07:36:31.978Z</dcterms:modified>
</cp:coreProperties>
</file>

<file path=docProps/custom.xml><?xml version="1.0" encoding="utf-8"?>
<Properties xmlns="http://schemas.openxmlformats.org/officeDocument/2006/custom-properties" xmlns:vt="http://schemas.openxmlformats.org/officeDocument/2006/docPropsVTypes"/>
</file>