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C3687" w:rsidRDefault="007C3687">
      <w:pPr>
        <w:spacing w:before="80" w:after="80"/>
      </w:pPr>
    </w:p>
    <w:p w:rsidR="007C3687" w:rsidRDefault="007C3687">
      <w:pPr>
        <w:spacing w:before="80" w:after="80"/>
      </w:pPr>
    </w:p>
    <w:p w:rsidR="007C3687" w:rsidRDefault="007C3687">
      <w:pPr>
        <w:spacing w:before="80" w:after="80"/>
      </w:pPr>
    </w:p>
    <w:p w:rsidR="007C3687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AdventureWorks 2022</w:t>
      </w:r>
    </w:p>
    <w:p w:rsidR="007C3687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Exploratory Data Analysis</w:t>
      </w:r>
    </w:p>
    <w:p w:rsidR="007C3687" w:rsidRDefault="00000000">
      <w:pPr>
        <w:spacing w:after="80"/>
        <w:jc w:val="center"/>
      </w:pPr>
      <w:r>
        <w:rPr>
          <w:color w:val="666666"/>
          <w:sz w:val="28"/>
          <w:szCs w:val="28"/>
        </w:rPr>
        <w:t>Phase 3 — Bivariate Analysis &amp; Findings</w:t>
      </w:r>
    </w:p>
    <w:p w:rsidR="007C3687" w:rsidRDefault="007C3687">
      <w:pPr>
        <w:spacing w:before="80" w:after="80"/>
      </w:pPr>
    </w:p>
    <w:p w:rsidR="007C3687" w:rsidRDefault="00000000">
      <w:pPr>
        <w:jc w:val="center"/>
      </w:pPr>
      <w:r>
        <w:rPr>
          <w:color w:val="888888"/>
        </w:rPr>
        <w:t>Focus: Relationships between Sales, Customers, Products and Territories</w:t>
      </w:r>
    </w:p>
    <w:p w:rsidR="007C3687" w:rsidRDefault="00000000">
      <w:pPr>
        <w:jc w:val="center"/>
      </w:pPr>
      <w:r>
        <w:rPr>
          <w:color w:val="888888"/>
        </w:rPr>
        <w:t>Tool: SQL Server Management Studio (SSMS)  |  Visualisation: Microsoft Power BI</w:t>
      </w:r>
    </w:p>
    <w:p w:rsidR="007C3687" w:rsidRDefault="007C3687">
      <w:pPr>
        <w:spacing w:before="80" w:after="80"/>
      </w:pPr>
    </w:p>
    <w:p w:rsidR="007C3687" w:rsidRDefault="007C3687">
      <w:pPr>
        <w:spacing w:before="80" w:after="80"/>
      </w:pPr>
    </w:p>
    <w:p w:rsidR="007C3687" w:rsidRDefault="00000000">
      <w:r>
        <w:br w:type="page"/>
      </w:r>
    </w:p>
    <w:p w:rsidR="007C3687" w:rsidRDefault="00000000">
      <w:pPr>
        <w:pStyle w:val="Heading1"/>
      </w:pPr>
      <w:r>
        <w:lastRenderedPageBreak/>
        <w:t>Summary of All Phase 3 Findings</w:t>
      </w:r>
    </w:p>
    <w:p w:rsidR="007C3687" w:rsidRDefault="007C3687">
      <w:pPr>
        <w:pBdr>
          <w:bottom w:val="single" w:sz="6" w:space="1" w:color="2E75B6"/>
        </w:pBdr>
        <w:spacing w:before="80" w:after="80"/>
      </w:pPr>
    </w:p>
    <w:p w:rsidR="007C3687" w:rsidRDefault="007C3687">
      <w:pPr>
        <w:spacing w:before="80" w:after="80"/>
      </w:pPr>
    </w:p>
    <w:p w:rsidR="007C3687" w:rsidRDefault="00000000">
      <w:pPr>
        <w:spacing w:before="80" w:after="80"/>
      </w:pPr>
      <w:r>
        <w:t>The following 6 findings were identified during Phase 3 bivariate analysis:</w:t>
      </w:r>
    </w:p>
    <w:p w:rsidR="007C3687" w:rsidRDefault="007C3687">
      <w:pPr>
        <w:spacing w:before="80" w:after="80"/>
      </w:pPr>
    </w:p>
    <w:tbl>
      <w:tblPr>
        <w:tblW w:w="12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69"/>
      </w:tblGrid>
      <w:tr w:rsidR="007C3687" w:rsidTr="00DA58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36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1</w:t>
            </w:r>
          </w:p>
        </w:tc>
        <w:tc>
          <w:tcPr>
            <w:tcW w:w="11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687" w:rsidRDefault="00000000">
            <w:r>
              <w:rPr>
                <w:b/>
                <w:bCs/>
              </w:rPr>
              <w:t>Discounted orders generate 2.6x more revenue</w:t>
            </w:r>
          </w:p>
          <w:p w:rsidR="007C3687" w:rsidRDefault="00000000">
            <w:r>
              <w:rPr>
                <w:color w:val="444444"/>
                <w:sz w:val="20"/>
                <w:szCs w:val="20"/>
              </w:rPr>
              <w:t>Average order total for discounted orders is £59,615 vs £23,140 for non-discounted. Discounts are a strategic B2B commercial tool — not a cost, but a revenue enabler for large wholesale accounts.</w:t>
            </w:r>
          </w:p>
        </w:tc>
      </w:tr>
    </w:tbl>
    <w:p w:rsidR="007C3687" w:rsidRDefault="007C3687">
      <w:pPr>
        <w:spacing w:before="80" w:after="80"/>
      </w:pPr>
    </w:p>
    <w:tbl>
      <w:tblPr>
        <w:tblW w:w="12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69"/>
      </w:tblGrid>
      <w:tr w:rsidR="007C3687" w:rsidTr="00DA58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36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2</w:t>
            </w:r>
          </w:p>
        </w:tc>
        <w:tc>
          <w:tcPr>
            <w:tcW w:w="11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687" w:rsidRDefault="00000000">
            <w:r>
              <w:rPr>
                <w:b/>
                <w:bCs/>
              </w:rPr>
              <w:t>Components are exclusively a B2B offline category</w:t>
            </w:r>
          </w:p>
          <w:p w:rsidR="007C3687" w:rsidRDefault="00000000">
            <w:r>
              <w:rPr>
                <w:color w:val="444444"/>
                <w:sz w:val="20"/>
                <w:szCs w:val="20"/>
              </w:rPr>
              <w:t>Zero online or individual customer purchases of Components exist. This category is entirely driven by Store Contact wholesale accounts requiring sales rep involvement.</w:t>
            </w:r>
          </w:p>
        </w:tc>
      </w:tr>
    </w:tbl>
    <w:p w:rsidR="007C3687" w:rsidRDefault="007C3687">
      <w:pPr>
        <w:spacing w:before="80" w:after="80"/>
      </w:pPr>
    </w:p>
    <w:tbl>
      <w:tblPr>
        <w:tblW w:w="12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69"/>
      </w:tblGrid>
      <w:tr w:rsidR="007C3687" w:rsidTr="00DA58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36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3</w:t>
            </w:r>
          </w:p>
        </w:tc>
        <w:tc>
          <w:tcPr>
            <w:tcW w:w="11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687" w:rsidRDefault="00000000">
            <w:r>
              <w:rPr>
                <w:b/>
                <w:bCs/>
              </w:rPr>
              <w:t>Every territory shows the same offline vs online pattern</w:t>
            </w:r>
          </w:p>
          <w:p w:rsidR="007C3687" w:rsidRDefault="00000000">
            <w:r>
              <w:rPr>
                <w:color w:val="444444"/>
                <w:sz w:val="20"/>
                <w:szCs w:val="20"/>
              </w:rPr>
              <w:t>Offline average order value exceeds online by 10x to 64x across all 10 territories. Central is the most extreme (64x). Australia is the most retail-balanced market (10x).</w:t>
            </w:r>
          </w:p>
        </w:tc>
      </w:tr>
    </w:tbl>
    <w:p w:rsidR="007C3687" w:rsidRDefault="007C3687">
      <w:pPr>
        <w:spacing w:before="80" w:after="80"/>
      </w:pPr>
    </w:p>
    <w:tbl>
      <w:tblPr>
        <w:tblW w:w="12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69"/>
      </w:tblGrid>
      <w:tr w:rsidR="007C3687" w:rsidTr="00DA58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36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4</w:t>
            </w:r>
          </w:p>
        </w:tc>
        <w:tc>
          <w:tcPr>
            <w:tcW w:w="11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687" w:rsidRDefault="00000000">
            <w:r>
              <w:rPr>
                <w:b/>
                <w:bCs/>
              </w:rPr>
              <w:t>Business transformation occurred in July 2013</w:t>
            </w:r>
          </w:p>
          <w:p w:rsidR="007C3687" w:rsidRDefault="00000000">
            <w:r>
              <w:rPr>
                <w:color w:val="444444"/>
                <w:sz w:val="20"/>
                <w:szCs w:val="20"/>
              </w:rPr>
              <w:t>Month-by-month analysis of 2012 vs 2013 shows the business operated as pure B2B wholesale until June 2013. From July 2013, online retail permanently took over — orders tripled while average value collapsed. Combined year averages hide this inflection point completely.</w:t>
            </w:r>
          </w:p>
        </w:tc>
      </w:tr>
    </w:tbl>
    <w:p w:rsidR="007C3687" w:rsidRDefault="007C3687">
      <w:pPr>
        <w:spacing w:before="80" w:after="80"/>
      </w:pPr>
    </w:p>
    <w:tbl>
      <w:tblPr>
        <w:tblW w:w="12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69"/>
      </w:tblGrid>
      <w:tr w:rsidR="007C3687" w:rsidTr="00DA58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36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5</w:t>
            </w:r>
          </w:p>
        </w:tc>
        <w:tc>
          <w:tcPr>
            <w:tcW w:w="11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687" w:rsidRDefault="00000000">
            <w:r>
              <w:rPr>
                <w:b/>
                <w:bCs/>
              </w:rPr>
              <w:t>12% of orders generate 74% of revenue — Store Contacts dominate</w:t>
            </w:r>
          </w:p>
          <w:p w:rsidR="007C3687" w:rsidRDefault="00000000">
            <w:r>
              <w:rPr>
                <w:color w:val="444444"/>
                <w:sz w:val="20"/>
                <w:szCs w:val="20"/>
              </w:rPr>
              <w:t>3,806 Store Contact orders (12.1%) generate £90.8M (73.7% of revenue). 27,659 Individual orders (87.9%) generate only £32.4M (26.3%). Losing one major store account has more impact than losing hundreds of individual customers.</w:t>
            </w:r>
          </w:p>
        </w:tc>
      </w:tr>
    </w:tbl>
    <w:p w:rsidR="007C3687" w:rsidRDefault="007C3687">
      <w:pPr>
        <w:spacing w:before="80" w:after="80"/>
      </w:pPr>
    </w:p>
    <w:tbl>
      <w:tblPr>
        <w:tblW w:w="12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69"/>
      </w:tblGrid>
      <w:tr w:rsidR="007C3687" w:rsidTr="00DA588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36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6</w:t>
            </w:r>
          </w:p>
        </w:tc>
        <w:tc>
          <w:tcPr>
            <w:tcW w:w="11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687" w:rsidRDefault="00000000">
            <w:r>
              <w:rPr>
                <w:b/>
                <w:bCs/>
              </w:rPr>
              <w:t>701 store accounts have never placed an order</w:t>
            </w:r>
          </w:p>
          <w:p w:rsidR="007C3687" w:rsidRDefault="00000000">
            <w:r>
              <w:rPr>
                <w:color w:val="444444"/>
                <w:sz w:val="20"/>
                <w:szCs w:val="20"/>
              </w:rPr>
              <w:lastRenderedPageBreak/>
              <w:t>These inactive store accounts represent a significant untapped revenue opportunity. If even 10% converted to active accounts at the average store order value of £23,851, that would generate an additional £1.7M in revenue.</w:t>
            </w:r>
          </w:p>
        </w:tc>
      </w:tr>
    </w:tbl>
    <w:p w:rsidR="007C3687" w:rsidRDefault="007C3687">
      <w:pPr>
        <w:spacing w:before="80" w:after="80"/>
      </w:pPr>
    </w:p>
    <w:p w:rsidR="007C3687" w:rsidRDefault="007C3687">
      <w:pPr>
        <w:spacing w:before="80" w:after="80"/>
      </w:pPr>
    </w:p>
    <w:sectPr w:rsidR="007C3687" w:rsidSect="00DA588D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204B31"/>
    <w:multiLevelType w:val="hybridMultilevel"/>
    <w:tmpl w:val="A9A25D58"/>
    <w:lvl w:ilvl="0" w:tplc="8B5AA814">
      <w:start w:val="1"/>
      <w:numFmt w:val="bullet"/>
      <w:lvlText w:val="•"/>
      <w:lvlJc w:val="left"/>
      <w:pPr>
        <w:ind w:left="720" w:hanging="360"/>
      </w:pPr>
    </w:lvl>
    <w:lvl w:ilvl="1" w:tplc="89B8FD44">
      <w:numFmt w:val="decimal"/>
      <w:lvlText w:val=""/>
      <w:lvlJc w:val="left"/>
    </w:lvl>
    <w:lvl w:ilvl="2" w:tplc="AC5A6464">
      <w:numFmt w:val="decimal"/>
      <w:lvlText w:val=""/>
      <w:lvlJc w:val="left"/>
    </w:lvl>
    <w:lvl w:ilvl="3" w:tplc="E79E4924">
      <w:numFmt w:val="decimal"/>
      <w:lvlText w:val=""/>
      <w:lvlJc w:val="left"/>
    </w:lvl>
    <w:lvl w:ilvl="4" w:tplc="4DFE9836">
      <w:numFmt w:val="decimal"/>
      <w:lvlText w:val=""/>
      <w:lvlJc w:val="left"/>
    </w:lvl>
    <w:lvl w:ilvl="5" w:tplc="DC3CA60E">
      <w:numFmt w:val="decimal"/>
      <w:lvlText w:val=""/>
      <w:lvlJc w:val="left"/>
    </w:lvl>
    <w:lvl w:ilvl="6" w:tplc="0A56E10C">
      <w:numFmt w:val="decimal"/>
      <w:lvlText w:val=""/>
      <w:lvlJc w:val="left"/>
    </w:lvl>
    <w:lvl w:ilvl="7" w:tplc="034A687A">
      <w:numFmt w:val="decimal"/>
      <w:lvlText w:val=""/>
      <w:lvlJc w:val="left"/>
    </w:lvl>
    <w:lvl w:ilvl="8" w:tplc="A03A7236">
      <w:numFmt w:val="decimal"/>
      <w:lvlText w:val=""/>
      <w:lvlJc w:val="left"/>
    </w:lvl>
  </w:abstractNum>
  <w:abstractNum w:abstractNumId="1" w15:restartNumberingAfterBreak="0">
    <w:nsid w:val="70A52A2B"/>
    <w:multiLevelType w:val="hybridMultilevel"/>
    <w:tmpl w:val="EC5C44B4"/>
    <w:lvl w:ilvl="0" w:tplc="0E7AA910">
      <w:start w:val="1"/>
      <w:numFmt w:val="bullet"/>
      <w:lvlText w:val="●"/>
      <w:lvlJc w:val="left"/>
      <w:pPr>
        <w:ind w:left="720" w:hanging="360"/>
      </w:pPr>
    </w:lvl>
    <w:lvl w:ilvl="1" w:tplc="5EAE996A">
      <w:start w:val="1"/>
      <w:numFmt w:val="bullet"/>
      <w:lvlText w:val="○"/>
      <w:lvlJc w:val="left"/>
      <w:pPr>
        <w:ind w:left="1440" w:hanging="360"/>
      </w:pPr>
    </w:lvl>
    <w:lvl w:ilvl="2" w:tplc="2236CC3C">
      <w:start w:val="1"/>
      <w:numFmt w:val="bullet"/>
      <w:lvlText w:val="■"/>
      <w:lvlJc w:val="left"/>
      <w:pPr>
        <w:ind w:left="2160" w:hanging="360"/>
      </w:pPr>
    </w:lvl>
    <w:lvl w:ilvl="3" w:tplc="B47CAF7C">
      <w:start w:val="1"/>
      <w:numFmt w:val="bullet"/>
      <w:lvlText w:val="●"/>
      <w:lvlJc w:val="left"/>
      <w:pPr>
        <w:ind w:left="2880" w:hanging="360"/>
      </w:pPr>
    </w:lvl>
    <w:lvl w:ilvl="4" w:tplc="C0D0625A">
      <w:start w:val="1"/>
      <w:numFmt w:val="bullet"/>
      <w:lvlText w:val="○"/>
      <w:lvlJc w:val="left"/>
      <w:pPr>
        <w:ind w:left="3600" w:hanging="360"/>
      </w:pPr>
    </w:lvl>
    <w:lvl w:ilvl="5" w:tplc="9E546570">
      <w:start w:val="1"/>
      <w:numFmt w:val="bullet"/>
      <w:lvlText w:val="■"/>
      <w:lvlJc w:val="left"/>
      <w:pPr>
        <w:ind w:left="4320" w:hanging="360"/>
      </w:pPr>
    </w:lvl>
    <w:lvl w:ilvl="6" w:tplc="0E5669C0">
      <w:start w:val="1"/>
      <w:numFmt w:val="bullet"/>
      <w:lvlText w:val="●"/>
      <w:lvlJc w:val="left"/>
      <w:pPr>
        <w:ind w:left="5040" w:hanging="360"/>
      </w:pPr>
    </w:lvl>
    <w:lvl w:ilvl="7" w:tplc="84DA4452">
      <w:start w:val="1"/>
      <w:numFmt w:val="bullet"/>
      <w:lvlText w:val="●"/>
      <w:lvlJc w:val="left"/>
      <w:pPr>
        <w:ind w:left="5760" w:hanging="360"/>
      </w:pPr>
    </w:lvl>
    <w:lvl w:ilvl="8" w:tplc="8A36B6CC">
      <w:start w:val="1"/>
      <w:numFmt w:val="bullet"/>
      <w:lvlText w:val="●"/>
      <w:lvlJc w:val="left"/>
      <w:pPr>
        <w:ind w:left="6480" w:hanging="360"/>
      </w:pPr>
    </w:lvl>
  </w:abstractNum>
  <w:num w:numId="1" w16cid:durableId="353266202">
    <w:abstractNumId w:val="1"/>
    <w:lvlOverride w:ilvl="0">
      <w:startOverride w:val="1"/>
    </w:lvlOverride>
  </w:num>
  <w:num w:numId="2" w16cid:durableId="2091612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87"/>
    <w:rsid w:val="00021FB5"/>
    <w:rsid w:val="007C3687"/>
    <w:rsid w:val="00DA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7268"/>
  <w15:docId w15:val="{0435C5FC-29CA-4CA5-999C-602D7E54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2026-04-15T04:47:00Z</dcterms:created>
  <dcterms:modified xsi:type="dcterms:W3CDTF">2026-04-15T04:57:00Z</dcterms:modified>
</cp:coreProperties>
</file>