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4E79"/>
          <w:sz w:val="56"/>
          <w:szCs w:val="56"/>
        </w:rPr>
        <w:t xml:space="preserve">AdventureWorks 2022</w:t>
      </w:r>
    </w:p>
    <w:p>
      <w:pPr>
        <w:spacing w:after="80" w:before="0"/>
        <w:jc w:val="center"/>
      </w:pPr>
      <w:r>
        <w:rPr>
          <w:rFonts w:ascii="Arial" w:cs="Arial" w:eastAsia="Arial" w:hAnsi="Arial"/>
          <w:b/>
          <w:bCs/>
          <w:color w:val="2E75B6"/>
          <w:sz w:val="40"/>
          <w:szCs w:val="40"/>
        </w:rPr>
        <w:t xml:space="preserve">Exploratory Data Analysis</w:t>
      </w:r>
    </w:p>
    <w:p>
      <w:pPr>
        <w:spacing w:after="80" w:before="0"/>
        <w:jc w:val="center"/>
      </w:pPr>
      <w:r>
        <w:rPr>
          <w:rFonts w:ascii="Arial" w:cs="Arial" w:eastAsia="Arial" w:hAnsi="Arial"/>
          <w:color w:val="666666"/>
          <w:sz w:val="28"/>
          <w:szCs w:val="28"/>
        </w:rPr>
        <w:t xml:space="preserve">Phase 4 — Time Series Analysis &amp; Findings</w:t>
      </w:r>
    </w:p>
    <w:p>
      <w:pPr>
        <w:spacing w:after="80" w:before="80"/>
      </w:pPr>
      <w:r>
        <w:t xml:space="preserve"/>
      </w:r>
    </w:p>
    <w:p>
      <w:pPr>
        <w:jc w:val="center"/>
      </w:pPr>
      <w:r>
        <w:rPr>
          <w:rFonts w:ascii="Arial" w:cs="Arial" w:eastAsia="Arial" w:hAnsi="Arial"/>
          <w:color w:val="888888"/>
          <w:sz w:val="22"/>
          <w:szCs w:val="22"/>
        </w:rPr>
        <w:t xml:space="preserve">Focus: Revenue Trends, Seasonality, Growth Rates &amp; Rolling Averages</w:t>
      </w:r>
    </w:p>
    <w:p>
      <w:pPr>
        <w:jc w:val="center"/>
      </w:pPr>
      <w:r>
        <w:rPr>
          <w:rFonts w:ascii="Arial" w:cs="Arial" w:eastAsia="Arial" w:hAnsi="Arial"/>
          <w:color w:val="888888"/>
          <w:sz w:val="22"/>
          <w:szCs w:val="22"/>
        </w:rPr>
        <w:t xml:space="preserve">Tool: SQL Server Management Studio (SSMS)  |  Visualisation: Microsoft Power BI</w:t>
      </w:r>
    </w:p>
    <w:p>
      <w:pPr>
        <w:spacing w:after="80" w:before="80"/>
      </w:pPr>
      <w:r>
        <w:t xml:space="preserve"/>
      </w:r>
    </w:p>
    <w:p>
      <w:pPr>
        <w:spacing w:after="80" w:before="80"/>
      </w:pPr>
      <w:r>
        <w:t xml:space="preserve"/>
      </w:r>
    </w:p>
    <w:p>
      <w:r>
        <w:br w:type="page"/>
      </w:r>
    </w:p>
    <w:p>
      <w:pPr>
        <w:pStyle w:val="Heading1"/>
        <w:spacing w:after="160" w:before="320"/>
      </w:pPr>
      <w:r>
        <w:rPr>
          <w:rFonts w:ascii="Arial" w:cs="Arial" w:eastAsia="Arial" w:hAnsi="Arial"/>
          <w:b/>
          <w:bCs/>
          <w:color w:val="1F4E79"/>
          <w:sz w:val="32"/>
          <w:szCs w:val="32"/>
        </w:rPr>
        <w:t xml:space="preserve">Summary of Findings</w:t>
      </w:r>
    </w:p>
    <w:p>
      <w:pPr>
        <w:pBdr>
          <w:bottom w:val="single" w:color="2E75B6" w:sz="6" w:space="1"/>
        </w:pBdr>
        <w:spacing w:after="80" w:before="80"/>
      </w:pPr>
      <w:r>
        <w:t xml:space="preserve"/>
      </w:r>
    </w:p>
    <w:p>
      <w:pPr>
        <w:spacing w:after="80" w:before="80"/>
      </w:pPr>
      <w:r>
        <w:t xml:space="preserve"/>
      </w:r>
    </w:p>
    <w:p>
      <w:pPr>
        <w:spacing w:after="80" w:before="80"/>
      </w:pPr>
      <w:r>
        <w:rPr>
          <w:rFonts w:ascii="Arial" w:cs="Arial" w:eastAsia="Arial" w:hAnsi="Arial"/>
          <w:sz w:val="22"/>
          <w:szCs w:val="22"/>
        </w:rPr>
        <w:t xml:space="preserve">The following 6 findings were identified during Phase 4 time series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2012 to 2013 revenue grew 30% but avg order value dropped 64%</w:t>
            </w:r>
          </w:p>
          <w:p>
            <w:r>
              <w:rPr>
                <w:rFonts w:ascii="Arial" w:cs="Arial" w:eastAsia="Arial" w:hAnsi="Arial"/>
                <w:color w:val="444444"/>
                <w:sz w:val="20"/>
                <w:szCs w:val="20"/>
              </w:rPr>
              <w:t xml:space="preserve">Total revenue grew from £37.7M (2012) to £49.0M (2013). However average order value collapsed from £9,623 to £3,453 as the online channel surge tripled order volumes. This is a volume vs value tradeoff — more orders, less value per order.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2</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Q3 2013 was the business transformation quarter</w:t>
            </w:r>
          </w:p>
          <w:p>
            <w:r>
              <w:rPr>
                <w:rFonts w:ascii="Arial" w:cs="Arial" w:eastAsia="Arial" w:hAnsi="Arial"/>
                <w:color w:val="444444"/>
                <w:sz w:val="20"/>
                <w:szCs w:val="20"/>
              </w:rPr>
              <w:t xml:space="preserve">Orders jumped from 1,575 in Q2 2013 to 5,320 in Q3 2013 — a 238% increase in a single quarter. Average order value simultaneously dropped from £7,762 to £2,695. This is the quarter the online retail channel permanently overtook B2B wholesale as the dominant order channel.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B2B wholesale is volatile, online retail is stable</w:t>
            </w:r>
          </w:p>
          <w:p>
            <w:r>
              <w:rPr>
                <w:rFonts w:ascii="Arial" w:cs="Arial" w:eastAsia="Arial" w:hAnsi="Arial"/>
                <w:color w:val="444444"/>
                <w:sz w:val="20"/>
                <w:szCs w:val="20"/>
              </w:rPr>
              <w:t xml:space="preserve">Month over month growth analysis shows 2012 swinging between -63% and +102% monthly — typical of irregular large B2B orders landing unpredictably. From H2 2013 onwards, monthly swings narrow significantly as consistent online retail orders smooth the revenue stream. Online retail creates more predictable, forecastable revenue.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4</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Rolling 3-month average shows consistent underlying growth in 2013</w:t>
            </w:r>
          </w:p>
          <w:p>
            <w:r>
              <w:rPr>
                <w:rFonts w:ascii="Arial" w:cs="Arial" w:eastAsia="Arial" w:hAnsi="Arial"/>
                <w:color w:val="444444"/>
                <w:sz w:val="20"/>
                <w:szCs w:val="20"/>
              </w:rPr>
              <w:t xml:space="preserve">Despite the apparent chaos of the channel shift, the 3-month rolling average reveals a clean upward trend throughout 2013 — rising from £2.5M in January to £4.9M by Q3. The month-to-month volatility hides this growth story. Rolling averages are essential for accurate trend interpretation in Power BI.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Spring months are consistently the strongest — March, May and June</w:t>
            </w:r>
          </w:p>
          <w:p>
            <w:r>
              <w:rPr>
                <w:rFonts w:ascii="Arial" w:cs="Arial" w:eastAsia="Arial" w:hAnsi="Arial"/>
                <w:color w:val="444444"/>
                <w:sz w:val="20"/>
                <w:szCs w:val="20"/>
              </w:rPr>
              <w:t xml:space="preserve">Ranked across 2012 and 2013 combined, the top 3 months by average revenue are May (£9,863), March (£9,621) and June (£9,321). All are spring months — likely driven by B2B wholesale accounts placing bulk orders ahead of the cycling season. January (£9,237) is also strong due to new year budget cycle ordering.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 6</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November is the weakest month — consistently bottom ranked</w:t>
            </w:r>
          </w:p>
          <w:p>
            <w:r>
              <w:rPr>
                <w:rFonts w:ascii="Arial" w:cs="Arial" w:eastAsia="Arial" w:hAnsi="Arial"/>
                <w:color w:val="444444"/>
                <w:sz w:val="20"/>
                <w:szCs w:val="20"/>
              </w:rPr>
              <w:t xml:space="preserve">November ranks last (12th) with average revenue of only £2,330 across 2012 and 2013. August (£2,978) and December (£3,187) are also weak. Summer and Autumn months are dragged down by the high volume but low value online orders that dominated from July 2013 onwards.</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2026-04-16T11:17:32.411Z</dcterms:created>
  <dcterms:modified xsi:type="dcterms:W3CDTF">2026-04-16T11:17:32.413Z</dcterms:modified>
</cp:coreProperties>
</file>

<file path=docProps/custom.xml><?xml version="1.0" encoding="utf-8"?>
<Properties xmlns="http://schemas.openxmlformats.org/officeDocument/2006/custom-properties" xmlns:vt="http://schemas.openxmlformats.org/officeDocument/2006/docPropsVTypes"/>
</file>