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B6E2E" w:rsidRDefault="00EB6E2E" w:rsidP="00EB6E2E">
      <w:pPr>
        <w:jc w:val="center"/>
        <w:rPr>
          <w:rFonts w:ascii="Arial" w:eastAsia="Arial" w:hAnsi="Arial" w:cs="Arial"/>
          <w:b/>
          <w:bCs/>
          <w:color w:val="1F4E79"/>
          <w:sz w:val="56"/>
          <w:szCs w:val="56"/>
          <w:lang w:val="en-IN" w:eastAsia="en-IN"/>
        </w:rPr>
      </w:pPr>
    </w:p>
    <w:p w:rsidR="00EB6E2E" w:rsidRDefault="00EB6E2E" w:rsidP="00EB6E2E">
      <w:pPr>
        <w:jc w:val="center"/>
        <w:rPr>
          <w:rFonts w:ascii="Arial" w:eastAsia="Arial" w:hAnsi="Arial" w:cs="Arial"/>
          <w:b/>
          <w:bCs/>
          <w:color w:val="1F4E79"/>
          <w:sz w:val="56"/>
          <w:szCs w:val="56"/>
          <w:lang w:val="en-IN" w:eastAsia="en-IN"/>
        </w:rPr>
      </w:pPr>
    </w:p>
    <w:p w:rsidR="00230C0F" w:rsidRPr="00EB6E2E" w:rsidRDefault="00000000" w:rsidP="00EB6E2E">
      <w:pPr>
        <w:jc w:val="center"/>
        <w:rPr>
          <w:rFonts w:ascii="Arial" w:eastAsia="Arial" w:hAnsi="Arial" w:cs="Arial"/>
          <w:b/>
          <w:bCs/>
          <w:color w:val="1F4E79"/>
          <w:sz w:val="56"/>
          <w:szCs w:val="56"/>
          <w:lang w:val="en-IN" w:eastAsia="en-IN"/>
        </w:rPr>
      </w:pPr>
      <w:r w:rsidRPr="00EB6E2E">
        <w:rPr>
          <w:rFonts w:ascii="Arial" w:eastAsia="Arial" w:hAnsi="Arial" w:cs="Arial"/>
          <w:b/>
          <w:bCs/>
          <w:color w:val="1F4E79"/>
          <w:sz w:val="56"/>
          <w:szCs w:val="56"/>
          <w:lang w:val="en-IN" w:eastAsia="en-IN"/>
        </w:rPr>
        <w:t>AdventureWorks 2022</w:t>
      </w:r>
    </w:p>
    <w:p w:rsidR="00230C0F" w:rsidRPr="00EB6E2E" w:rsidRDefault="00000000" w:rsidP="00EB6E2E">
      <w:pPr>
        <w:jc w:val="center"/>
        <w:rPr>
          <w:rFonts w:ascii="Arial" w:eastAsia="Arial" w:hAnsi="Arial" w:cs="Arial"/>
          <w:b/>
          <w:bCs/>
          <w:color w:val="2E75B6"/>
          <w:sz w:val="40"/>
          <w:szCs w:val="40"/>
          <w:lang w:val="en-IN" w:eastAsia="en-IN"/>
        </w:rPr>
      </w:pPr>
      <w:r w:rsidRPr="00EB6E2E">
        <w:rPr>
          <w:rFonts w:ascii="Arial" w:eastAsia="Arial" w:hAnsi="Arial" w:cs="Arial"/>
          <w:b/>
          <w:bCs/>
          <w:color w:val="2E75B6"/>
          <w:sz w:val="40"/>
          <w:szCs w:val="40"/>
          <w:lang w:val="en-IN" w:eastAsia="en-IN"/>
        </w:rPr>
        <w:t>Exploratory Data Analysis</w:t>
      </w:r>
    </w:p>
    <w:p w:rsidR="00230C0F" w:rsidRPr="00EB6E2E" w:rsidRDefault="00000000" w:rsidP="00EB6E2E">
      <w:pPr>
        <w:jc w:val="center"/>
        <w:rPr>
          <w:rFonts w:ascii="Arial" w:eastAsia="Arial" w:hAnsi="Arial" w:cs="Arial"/>
          <w:color w:val="666666"/>
          <w:sz w:val="28"/>
          <w:szCs w:val="28"/>
          <w:lang w:val="en-IN" w:eastAsia="en-IN"/>
        </w:rPr>
      </w:pPr>
      <w:r w:rsidRPr="00EB6E2E">
        <w:rPr>
          <w:rFonts w:ascii="Arial" w:eastAsia="Arial" w:hAnsi="Arial" w:cs="Arial"/>
          <w:color w:val="666666"/>
          <w:sz w:val="28"/>
          <w:szCs w:val="28"/>
          <w:lang w:val="en-IN" w:eastAsia="en-IN"/>
        </w:rPr>
        <w:t>Phase 3 — Time-Based Customer Analysis</w:t>
      </w:r>
    </w:p>
    <w:p w:rsidR="00230C0F" w:rsidRDefault="00230C0F" w:rsidP="00EB6E2E">
      <w:pPr>
        <w:jc w:val="center"/>
      </w:pPr>
    </w:p>
    <w:p w:rsidR="00230C0F" w:rsidRPr="00EB6E2E" w:rsidRDefault="00000000" w:rsidP="00EB6E2E">
      <w:pPr>
        <w:jc w:val="center"/>
        <w:rPr>
          <w:rFonts w:ascii="Arial" w:eastAsia="Arial" w:hAnsi="Arial" w:cs="Arial"/>
          <w:color w:val="888888"/>
          <w:lang w:val="en-IN" w:eastAsia="en-IN"/>
        </w:rPr>
      </w:pPr>
      <w:r w:rsidRPr="00EB6E2E">
        <w:rPr>
          <w:rFonts w:ascii="Arial" w:eastAsia="Arial" w:hAnsi="Arial" w:cs="Arial"/>
          <w:color w:val="888888"/>
          <w:lang w:val="en-IN" w:eastAsia="en-IN"/>
        </w:rPr>
        <w:t>Focus: Customer acquisition trends, repeat behavior, and purchase frequency over time</w:t>
      </w:r>
    </w:p>
    <w:p w:rsidR="00230C0F" w:rsidRPr="00EB6E2E" w:rsidRDefault="00000000" w:rsidP="00EB6E2E">
      <w:pPr>
        <w:jc w:val="center"/>
        <w:rPr>
          <w:rFonts w:ascii="Arial" w:eastAsia="Arial" w:hAnsi="Arial" w:cs="Arial"/>
          <w:color w:val="888888"/>
          <w:lang w:val="en-IN" w:eastAsia="en-IN"/>
        </w:rPr>
      </w:pPr>
      <w:r w:rsidRPr="00EB6E2E">
        <w:rPr>
          <w:rFonts w:ascii="Arial" w:eastAsia="Arial" w:hAnsi="Arial" w:cs="Arial"/>
          <w:color w:val="888888"/>
          <w:lang w:val="en-IN" w:eastAsia="en-IN"/>
        </w:rPr>
        <w:t>Tool: SQL Server Management Studio (SSMS)  |  Visualisation: Microsoft Power BI</w:t>
      </w:r>
    </w:p>
    <w:p w:rsidR="00EB6E2E" w:rsidRDefault="00EB6E2E" w:rsidP="00EB6E2E">
      <w:pPr>
        <w:jc w:val="center"/>
      </w:pPr>
      <w:r>
        <w:br w:type="page"/>
      </w:r>
    </w:p>
    <w:p w:rsidR="00230C0F" w:rsidRDefault="00230C0F"/>
    <w:p w:rsidR="00230C0F" w:rsidRDefault="00000000" w:rsidP="00EB6E2E">
      <w:pPr>
        <w:pStyle w:val="Heading1"/>
        <w:keepNext w:val="0"/>
        <w:keepLines w:val="0"/>
        <w:spacing w:before="320" w:after="160" w:line="240" w:lineRule="auto"/>
        <w:rPr>
          <w:rFonts w:ascii="Arial" w:eastAsia="Arial" w:hAnsi="Arial" w:cs="Arial"/>
          <w:color w:val="1F4E79"/>
          <w:sz w:val="32"/>
          <w:szCs w:val="32"/>
          <w:lang w:val="en-IN" w:eastAsia="en-IN"/>
        </w:rPr>
      </w:pPr>
      <w:r w:rsidRPr="00EB6E2E">
        <w:rPr>
          <w:rFonts w:ascii="Arial" w:eastAsia="Arial" w:hAnsi="Arial" w:cs="Arial"/>
          <w:color w:val="1F4E79"/>
          <w:sz w:val="32"/>
          <w:szCs w:val="32"/>
          <w:lang w:val="en-IN" w:eastAsia="en-IN"/>
        </w:rPr>
        <w:t>Summary of All Phase 3 Findings</w:t>
      </w:r>
    </w:p>
    <w:p w:rsidR="00EB6E2E" w:rsidRPr="00EB6E2E" w:rsidRDefault="00EB6E2E" w:rsidP="00EB6E2E">
      <w:pPr>
        <w:rPr>
          <w:lang w:val="en-IN"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9207"/>
      </w:tblGrid>
      <w:tr w:rsidR="00EB6E2E" w:rsidTr="00EB6E2E">
        <w:tc>
          <w:tcPr>
            <w:tcW w:w="1809" w:type="dxa"/>
            <w:shd w:val="clear" w:color="auto" w:fill="4F81BD" w:themeFill="accent1"/>
          </w:tcPr>
          <w:p w:rsidR="00E76A45" w:rsidRDefault="00E76A45">
            <w:pPr>
              <w:rPr>
                <w:rFonts w:ascii="Arial" w:hAnsi="Arial" w:cs="Arial"/>
                <w:b/>
                <w:color w:val="FFFFFF"/>
                <w:sz w:val="24"/>
              </w:rPr>
            </w:pPr>
          </w:p>
          <w:p w:rsidR="00EB6E2E" w:rsidRPr="00EB6E2E" w:rsidRDefault="00EB6E2E">
            <w:pPr>
              <w:rPr>
                <w:color w:val="FFFFFF"/>
              </w:rPr>
            </w:pPr>
            <w:r w:rsidRPr="00EB6E2E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>
              <w:rPr>
                <w:rFonts w:ascii="Arial" w:hAnsi="Arial" w:cs="Arial"/>
                <w:b/>
                <w:color w:val="FFFFFF"/>
                <w:sz w:val="24"/>
              </w:rPr>
              <w:t xml:space="preserve"> </w:t>
            </w:r>
            <w:r w:rsidRPr="00EB6E2E">
              <w:rPr>
                <w:rFonts w:ascii="Arial" w:hAnsi="Arial" w:cs="Arial"/>
                <w:b/>
                <w:color w:val="FFFFFF"/>
                <w:sz w:val="24"/>
              </w:rPr>
              <w:t>1</w:t>
            </w:r>
          </w:p>
        </w:tc>
        <w:tc>
          <w:tcPr>
            <w:tcW w:w="9207" w:type="dxa"/>
          </w:tcPr>
          <w:p w:rsidR="00EB6E2E" w:rsidRDefault="00EB6E2E" w:rsidP="00EB6E2E">
            <w:pPr>
              <w:rPr>
                <w:rFonts w:ascii="Arial" w:hAnsi="Arial" w:cs="Arial"/>
                <w:b/>
                <w:sz w:val="24"/>
              </w:rPr>
            </w:pPr>
            <w:r w:rsidRPr="00EB6E2E">
              <w:rPr>
                <w:rFonts w:ascii="Arial" w:hAnsi="Arial" w:cs="Arial"/>
                <w:b/>
                <w:sz w:val="24"/>
              </w:rPr>
              <w:t>Customer acquisition shows strong growth trends</w:t>
            </w:r>
          </w:p>
          <w:p w:rsidR="00EB6E2E" w:rsidRPr="00EB6E2E" w:rsidRDefault="00EB6E2E" w:rsidP="00EB6E2E">
            <w:pPr>
              <w:rPr>
                <w:rFonts w:ascii="Arial" w:hAnsi="Arial" w:cs="Arial"/>
              </w:rPr>
            </w:pPr>
          </w:p>
          <w:p w:rsidR="00EB6E2E" w:rsidRPr="00EB6E2E" w:rsidRDefault="00EB6E2E">
            <w:pPr>
              <w:rPr>
                <w:rFonts w:ascii="Arial" w:hAnsi="Arial" w:cs="Arial"/>
              </w:rPr>
            </w:pPr>
            <w:r w:rsidRPr="00EB6E2E">
              <w:rPr>
                <w:rFonts w:ascii="Arial" w:hAnsi="Arial" w:cs="Arial"/>
              </w:rPr>
              <w:t>Monthly and yearly acquisition analysis shows a significant increase in customer growth, particularly during peak periods, indicating successful expansion strategies.</w:t>
            </w:r>
          </w:p>
        </w:tc>
      </w:tr>
      <w:tr w:rsidR="00EB6E2E" w:rsidTr="00EB6E2E">
        <w:tc>
          <w:tcPr>
            <w:tcW w:w="1809" w:type="dxa"/>
            <w:shd w:val="clear" w:color="auto" w:fill="4F81BD" w:themeFill="accent1"/>
          </w:tcPr>
          <w:p w:rsidR="00E76A45" w:rsidRDefault="00E76A45">
            <w:pPr>
              <w:rPr>
                <w:rFonts w:ascii="Arial" w:hAnsi="Arial" w:cs="Arial"/>
                <w:b/>
                <w:color w:val="FFFFFF"/>
                <w:sz w:val="24"/>
              </w:rPr>
            </w:pPr>
          </w:p>
          <w:p w:rsidR="00EB6E2E" w:rsidRDefault="00EB6E2E">
            <w:r w:rsidRPr="00EB6E2E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>
              <w:rPr>
                <w:rFonts w:ascii="Arial" w:hAnsi="Arial" w:cs="Arial"/>
                <w:b/>
                <w:color w:val="FFFFFF"/>
                <w:sz w:val="24"/>
              </w:rPr>
              <w:t xml:space="preserve"> </w:t>
            </w:r>
            <w:r w:rsidRPr="00EB6E2E">
              <w:rPr>
                <w:rFonts w:ascii="Arial" w:hAnsi="Arial" w:cs="Arial"/>
                <w:b/>
                <w:color w:val="FFFFFF"/>
                <w:sz w:val="24"/>
              </w:rPr>
              <w:t>2</w:t>
            </w:r>
          </w:p>
        </w:tc>
        <w:tc>
          <w:tcPr>
            <w:tcW w:w="9207" w:type="dxa"/>
          </w:tcPr>
          <w:p w:rsidR="00EB6E2E" w:rsidRDefault="00EB6E2E" w:rsidP="00EB6E2E">
            <w:pPr>
              <w:rPr>
                <w:rFonts w:ascii="Arial" w:hAnsi="Arial" w:cs="Arial"/>
                <w:b/>
                <w:sz w:val="24"/>
              </w:rPr>
            </w:pPr>
            <w:r w:rsidRPr="00EB6E2E">
              <w:rPr>
                <w:rFonts w:ascii="Arial" w:hAnsi="Arial" w:cs="Arial"/>
                <w:b/>
                <w:sz w:val="24"/>
              </w:rPr>
              <w:t xml:space="preserve">New vs </w:t>
            </w:r>
            <w:proofErr w:type="gramStart"/>
            <w:r w:rsidRPr="00EB6E2E">
              <w:rPr>
                <w:rFonts w:ascii="Arial" w:hAnsi="Arial" w:cs="Arial"/>
                <w:b/>
                <w:sz w:val="24"/>
              </w:rPr>
              <w:t>repeat</w:t>
            </w:r>
            <w:proofErr w:type="gramEnd"/>
            <w:r w:rsidRPr="00EB6E2E">
              <w:rPr>
                <w:rFonts w:ascii="Arial" w:hAnsi="Arial" w:cs="Arial"/>
                <w:b/>
                <w:sz w:val="24"/>
              </w:rPr>
              <w:t xml:space="preserve"> analysis highlights retention gaps</w:t>
            </w:r>
          </w:p>
          <w:p w:rsidR="00EB6E2E" w:rsidRPr="00EB6E2E" w:rsidRDefault="00EB6E2E" w:rsidP="00EB6E2E">
            <w:pPr>
              <w:rPr>
                <w:rFonts w:ascii="Arial" w:hAnsi="Arial" w:cs="Arial"/>
              </w:rPr>
            </w:pPr>
          </w:p>
          <w:p w:rsidR="00EB6E2E" w:rsidRPr="00EB6E2E" w:rsidRDefault="00EB6E2E">
            <w:pPr>
              <w:rPr>
                <w:rFonts w:ascii="Arial" w:hAnsi="Arial" w:cs="Arial"/>
              </w:rPr>
            </w:pPr>
            <w:r w:rsidRPr="00EB6E2E">
              <w:rPr>
                <w:rFonts w:ascii="Arial" w:hAnsi="Arial" w:cs="Arial"/>
              </w:rPr>
              <w:t>A large portion of customers are new in each period, while repeat customers form a smaller segment, indicating opportunities to improve retention.</w:t>
            </w:r>
          </w:p>
        </w:tc>
      </w:tr>
      <w:tr w:rsidR="00EB6E2E" w:rsidTr="00EB6E2E">
        <w:tc>
          <w:tcPr>
            <w:tcW w:w="1809" w:type="dxa"/>
            <w:shd w:val="clear" w:color="auto" w:fill="4F81BD" w:themeFill="accent1"/>
          </w:tcPr>
          <w:p w:rsidR="00E76A45" w:rsidRDefault="00E76A45">
            <w:pPr>
              <w:rPr>
                <w:rFonts w:ascii="Arial" w:hAnsi="Arial" w:cs="Arial"/>
                <w:b/>
                <w:color w:val="FFFFFF"/>
                <w:sz w:val="24"/>
              </w:rPr>
            </w:pPr>
          </w:p>
          <w:p w:rsidR="00EB6E2E" w:rsidRDefault="00EB6E2E">
            <w:r w:rsidRPr="00EB6E2E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>
              <w:rPr>
                <w:rFonts w:ascii="Arial" w:hAnsi="Arial" w:cs="Arial"/>
                <w:b/>
                <w:color w:val="FFFFFF"/>
                <w:sz w:val="24"/>
              </w:rPr>
              <w:t xml:space="preserve"> </w:t>
            </w:r>
            <w:r w:rsidRPr="00EB6E2E">
              <w:rPr>
                <w:rFonts w:ascii="Arial" w:hAnsi="Arial" w:cs="Arial"/>
                <w:b/>
                <w:color w:val="FFFFFF"/>
                <w:sz w:val="24"/>
              </w:rPr>
              <w:t>3</w:t>
            </w:r>
          </w:p>
        </w:tc>
        <w:tc>
          <w:tcPr>
            <w:tcW w:w="9207" w:type="dxa"/>
          </w:tcPr>
          <w:p w:rsidR="00EB6E2E" w:rsidRDefault="00EB6E2E" w:rsidP="00EB6E2E">
            <w:pPr>
              <w:rPr>
                <w:rFonts w:ascii="Arial" w:hAnsi="Arial" w:cs="Arial"/>
                <w:b/>
                <w:sz w:val="24"/>
              </w:rPr>
            </w:pPr>
            <w:r w:rsidRPr="00EB6E2E">
              <w:rPr>
                <w:rFonts w:ascii="Arial" w:hAnsi="Arial" w:cs="Arial"/>
                <w:b/>
                <w:sz w:val="24"/>
              </w:rPr>
              <w:t>Customers do not purchase frequently</w:t>
            </w:r>
          </w:p>
          <w:p w:rsidR="00EB6E2E" w:rsidRPr="00EB6E2E" w:rsidRDefault="00EB6E2E" w:rsidP="00EB6E2E">
            <w:pPr>
              <w:rPr>
                <w:rFonts w:ascii="Arial" w:hAnsi="Arial" w:cs="Arial"/>
              </w:rPr>
            </w:pPr>
          </w:p>
          <w:p w:rsidR="00EB6E2E" w:rsidRPr="00EB6E2E" w:rsidRDefault="00EB6E2E">
            <w:pPr>
              <w:rPr>
                <w:rFonts w:ascii="Arial" w:hAnsi="Arial" w:cs="Arial"/>
              </w:rPr>
            </w:pPr>
            <w:r w:rsidRPr="00EB6E2E">
              <w:rPr>
                <w:rFonts w:ascii="Arial" w:hAnsi="Arial" w:cs="Arial"/>
              </w:rPr>
              <w:t>Average time between orders ranges from approximately 400 to 500 days, suggesting low purchase frequency and long buying cycles.</w:t>
            </w:r>
          </w:p>
        </w:tc>
      </w:tr>
      <w:tr w:rsidR="00EB6E2E" w:rsidTr="00EB6E2E">
        <w:tc>
          <w:tcPr>
            <w:tcW w:w="1809" w:type="dxa"/>
            <w:shd w:val="clear" w:color="auto" w:fill="4F81BD" w:themeFill="accent1"/>
          </w:tcPr>
          <w:p w:rsidR="00E76A45" w:rsidRDefault="00E76A45">
            <w:pPr>
              <w:rPr>
                <w:rFonts w:ascii="Arial" w:hAnsi="Arial" w:cs="Arial"/>
                <w:b/>
                <w:color w:val="FFFFFF"/>
                <w:sz w:val="24"/>
              </w:rPr>
            </w:pPr>
          </w:p>
          <w:p w:rsidR="00EB6E2E" w:rsidRDefault="00EB6E2E">
            <w:r w:rsidRPr="00EB6E2E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>
              <w:rPr>
                <w:rFonts w:ascii="Arial" w:hAnsi="Arial" w:cs="Arial"/>
                <w:b/>
                <w:color w:val="FFFFFF"/>
                <w:sz w:val="24"/>
              </w:rPr>
              <w:t xml:space="preserve"> </w:t>
            </w:r>
            <w:r w:rsidRPr="00EB6E2E">
              <w:rPr>
                <w:rFonts w:ascii="Arial" w:hAnsi="Arial" w:cs="Arial"/>
                <w:b/>
                <w:color w:val="FFFFFF"/>
                <w:sz w:val="24"/>
              </w:rPr>
              <w:t>4</w:t>
            </w:r>
          </w:p>
        </w:tc>
        <w:tc>
          <w:tcPr>
            <w:tcW w:w="9207" w:type="dxa"/>
          </w:tcPr>
          <w:p w:rsidR="00EB6E2E" w:rsidRDefault="00EB6E2E" w:rsidP="00EB6E2E">
            <w:pPr>
              <w:rPr>
                <w:rFonts w:ascii="Arial" w:hAnsi="Arial" w:cs="Arial"/>
                <w:b/>
                <w:sz w:val="24"/>
              </w:rPr>
            </w:pPr>
            <w:r w:rsidRPr="00EB6E2E">
              <w:rPr>
                <w:rFonts w:ascii="Arial" w:hAnsi="Arial" w:cs="Arial"/>
                <w:b/>
                <w:sz w:val="24"/>
              </w:rPr>
              <w:t>Customer behavior follows long lifecycle patterns</w:t>
            </w:r>
          </w:p>
          <w:p w:rsidR="00EB6E2E" w:rsidRPr="00EB6E2E" w:rsidRDefault="00EB6E2E" w:rsidP="00EB6E2E">
            <w:pPr>
              <w:rPr>
                <w:rFonts w:ascii="Arial" w:hAnsi="Arial" w:cs="Arial"/>
              </w:rPr>
            </w:pPr>
          </w:p>
          <w:p w:rsidR="00EB6E2E" w:rsidRPr="00EB6E2E" w:rsidRDefault="00EB6E2E">
            <w:pPr>
              <w:rPr>
                <w:rFonts w:ascii="Arial" w:hAnsi="Arial" w:cs="Arial"/>
              </w:rPr>
            </w:pPr>
            <w:r w:rsidRPr="00EB6E2E">
              <w:rPr>
                <w:rFonts w:ascii="Arial" w:hAnsi="Arial" w:cs="Arial"/>
              </w:rPr>
              <w:t>Customers tend to return after long intervals rather than purchasing regularly, indicating a long decision-making or usage cycle.</w:t>
            </w:r>
          </w:p>
        </w:tc>
      </w:tr>
      <w:tr w:rsidR="00EB6E2E" w:rsidTr="00EB6E2E">
        <w:tc>
          <w:tcPr>
            <w:tcW w:w="1809" w:type="dxa"/>
            <w:shd w:val="clear" w:color="auto" w:fill="4F81BD" w:themeFill="accent1"/>
          </w:tcPr>
          <w:p w:rsidR="00E76A45" w:rsidRDefault="00E76A45">
            <w:pPr>
              <w:rPr>
                <w:rFonts w:ascii="Arial" w:hAnsi="Arial" w:cs="Arial"/>
                <w:b/>
                <w:color w:val="FFFFFF"/>
                <w:sz w:val="24"/>
              </w:rPr>
            </w:pPr>
          </w:p>
          <w:p w:rsidR="00EB6E2E" w:rsidRDefault="00EB6E2E">
            <w:r w:rsidRPr="00EB6E2E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>
              <w:rPr>
                <w:rFonts w:ascii="Arial" w:hAnsi="Arial" w:cs="Arial"/>
                <w:b/>
                <w:color w:val="FFFFFF"/>
                <w:sz w:val="24"/>
              </w:rPr>
              <w:t xml:space="preserve"> </w:t>
            </w:r>
            <w:r w:rsidRPr="00EB6E2E">
              <w:rPr>
                <w:rFonts w:ascii="Arial" w:hAnsi="Arial" w:cs="Arial"/>
                <w:b/>
                <w:color w:val="FFFFFF"/>
                <w:sz w:val="24"/>
              </w:rPr>
              <w:t>5</w:t>
            </w:r>
          </w:p>
        </w:tc>
        <w:tc>
          <w:tcPr>
            <w:tcW w:w="9207" w:type="dxa"/>
          </w:tcPr>
          <w:p w:rsidR="00EB6E2E" w:rsidRDefault="00EB6E2E" w:rsidP="00EB6E2E">
            <w:pPr>
              <w:rPr>
                <w:rFonts w:ascii="Arial" w:hAnsi="Arial" w:cs="Arial"/>
                <w:b/>
                <w:sz w:val="24"/>
              </w:rPr>
            </w:pPr>
            <w:r w:rsidRPr="00EB6E2E">
              <w:rPr>
                <w:rFonts w:ascii="Arial" w:hAnsi="Arial" w:cs="Arial"/>
                <w:b/>
                <w:sz w:val="24"/>
              </w:rPr>
              <w:t>Repeat customers represent higher engagement</w:t>
            </w:r>
          </w:p>
          <w:p w:rsidR="00EB6E2E" w:rsidRPr="00EB6E2E" w:rsidRDefault="00EB6E2E" w:rsidP="00EB6E2E">
            <w:pPr>
              <w:rPr>
                <w:rFonts w:ascii="Arial" w:hAnsi="Arial" w:cs="Arial"/>
              </w:rPr>
            </w:pPr>
          </w:p>
          <w:p w:rsidR="00EB6E2E" w:rsidRPr="00EB6E2E" w:rsidRDefault="00EB6E2E">
            <w:pPr>
              <w:rPr>
                <w:rFonts w:ascii="Arial" w:hAnsi="Arial" w:cs="Arial"/>
              </w:rPr>
            </w:pPr>
            <w:r w:rsidRPr="00EB6E2E">
              <w:rPr>
                <w:rFonts w:ascii="Arial" w:hAnsi="Arial" w:cs="Arial"/>
              </w:rPr>
              <w:t>Customers who return demonstrate stronger engagement and contribute more consistently to revenue compared to one-time buyers.</w:t>
            </w:r>
          </w:p>
        </w:tc>
      </w:tr>
      <w:tr w:rsidR="00EB6E2E" w:rsidTr="00EB6E2E">
        <w:tc>
          <w:tcPr>
            <w:tcW w:w="1809" w:type="dxa"/>
            <w:shd w:val="clear" w:color="auto" w:fill="4F81BD" w:themeFill="accent1"/>
          </w:tcPr>
          <w:p w:rsidR="00E76A45" w:rsidRDefault="00E76A45">
            <w:pPr>
              <w:rPr>
                <w:rFonts w:ascii="Arial" w:hAnsi="Arial" w:cs="Arial"/>
                <w:b/>
                <w:color w:val="FFFFFF"/>
                <w:sz w:val="24"/>
              </w:rPr>
            </w:pPr>
          </w:p>
          <w:p w:rsidR="00EB6E2E" w:rsidRDefault="00EB6E2E">
            <w:r w:rsidRPr="00EB6E2E">
              <w:rPr>
                <w:rFonts w:ascii="Arial" w:hAnsi="Arial" w:cs="Arial"/>
                <w:b/>
                <w:color w:val="FFFFFF"/>
                <w:sz w:val="24"/>
              </w:rPr>
              <w:t>Finding</w:t>
            </w:r>
            <w:r>
              <w:rPr>
                <w:rFonts w:ascii="Arial" w:hAnsi="Arial" w:cs="Arial"/>
                <w:b/>
                <w:color w:val="FFFFFF"/>
                <w:sz w:val="24"/>
              </w:rPr>
              <w:t xml:space="preserve"> </w:t>
            </w:r>
            <w:r w:rsidRPr="00EB6E2E">
              <w:rPr>
                <w:rFonts w:ascii="Arial" w:hAnsi="Arial" w:cs="Arial"/>
                <w:b/>
                <w:color w:val="FFFFFF"/>
                <w:sz w:val="24"/>
              </w:rPr>
              <w:t>6</w:t>
            </w:r>
          </w:p>
        </w:tc>
        <w:tc>
          <w:tcPr>
            <w:tcW w:w="9207" w:type="dxa"/>
          </w:tcPr>
          <w:p w:rsidR="00EB6E2E" w:rsidRDefault="00EB6E2E" w:rsidP="00EB6E2E">
            <w:pPr>
              <w:rPr>
                <w:rFonts w:ascii="Arial" w:hAnsi="Arial" w:cs="Arial"/>
                <w:b/>
                <w:sz w:val="24"/>
              </w:rPr>
            </w:pPr>
            <w:r w:rsidRPr="00EB6E2E">
              <w:rPr>
                <w:rFonts w:ascii="Arial" w:hAnsi="Arial" w:cs="Arial"/>
                <w:b/>
                <w:sz w:val="24"/>
              </w:rPr>
              <w:t>Time-based analysis reveals retention opportunities</w:t>
            </w:r>
          </w:p>
          <w:p w:rsidR="00EB6E2E" w:rsidRPr="00EB6E2E" w:rsidRDefault="00EB6E2E" w:rsidP="00EB6E2E">
            <w:pPr>
              <w:rPr>
                <w:rFonts w:ascii="Arial" w:hAnsi="Arial" w:cs="Arial"/>
              </w:rPr>
            </w:pPr>
          </w:p>
          <w:p w:rsidR="00EB6E2E" w:rsidRPr="00EB6E2E" w:rsidRDefault="00EB6E2E">
            <w:pPr>
              <w:rPr>
                <w:rFonts w:ascii="Arial" w:hAnsi="Arial" w:cs="Arial"/>
              </w:rPr>
            </w:pPr>
            <w:r w:rsidRPr="00EB6E2E">
              <w:rPr>
                <w:rFonts w:ascii="Arial" w:hAnsi="Arial" w:cs="Arial"/>
              </w:rPr>
              <w:t>Identifying gaps between purchases enables targeted re-engagement strategies, especially before expected reorder periods.</w:t>
            </w:r>
          </w:p>
        </w:tc>
      </w:tr>
    </w:tbl>
    <w:p w:rsidR="00230C0F" w:rsidRDefault="00230C0F"/>
    <w:p w:rsidR="00230C0F" w:rsidRDefault="00000000">
      <w:r w:rsidRPr="00EB6E2E">
        <w:rPr>
          <w:rFonts w:ascii="Arial" w:hAnsi="Arial" w:cs="Arial"/>
          <w:b/>
          <w:sz w:val="24"/>
        </w:rPr>
        <w:br/>
      </w:r>
    </w:p>
    <w:sectPr w:rsidR="00230C0F" w:rsidSect="00EB6E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27744">
    <w:abstractNumId w:val="8"/>
  </w:num>
  <w:num w:numId="2" w16cid:durableId="1966428088">
    <w:abstractNumId w:val="6"/>
  </w:num>
  <w:num w:numId="3" w16cid:durableId="2147158161">
    <w:abstractNumId w:val="5"/>
  </w:num>
  <w:num w:numId="4" w16cid:durableId="1087074759">
    <w:abstractNumId w:val="4"/>
  </w:num>
  <w:num w:numId="5" w16cid:durableId="1045711596">
    <w:abstractNumId w:val="7"/>
  </w:num>
  <w:num w:numId="6" w16cid:durableId="633829688">
    <w:abstractNumId w:val="3"/>
  </w:num>
  <w:num w:numId="7" w16cid:durableId="2049455730">
    <w:abstractNumId w:val="2"/>
  </w:num>
  <w:num w:numId="8" w16cid:durableId="687565359">
    <w:abstractNumId w:val="1"/>
  </w:num>
  <w:num w:numId="9" w16cid:durableId="187927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C0F"/>
    <w:rsid w:val="0029639D"/>
    <w:rsid w:val="00326F90"/>
    <w:rsid w:val="00392769"/>
    <w:rsid w:val="00AA1D8D"/>
    <w:rsid w:val="00B47730"/>
    <w:rsid w:val="00CB0664"/>
    <w:rsid w:val="00E76A45"/>
    <w:rsid w:val="00EB6E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669B9"/>
  <w14:defaultImageDpi w14:val="300"/>
  <w15:docId w15:val="{18DF2B8C-D7A0-476D-923B-6D2A461E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2026-04-17T17:23:00Z</dcterms:modified>
  <cp:category/>
</cp:coreProperties>
</file>