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52AC8" w:rsidRDefault="00552AC8" w:rsidP="004F41A1">
      <w:pPr>
        <w:spacing w:after="120" w:line="240" w:lineRule="auto"/>
        <w:jc w:val="center"/>
        <w:rPr>
          <w:rFonts w:ascii="Arial" w:eastAsia="Arial" w:hAnsi="Arial" w:cs="Arial"/>
          <w:b/>
          <w:bCs/>
          <w:color w:val="1F4E79"/>
          <w:sz w:val="56"/>
          <w:szCs w:val="56"/>
          <w:lang w:val="en-IN" w:eastAsia="en-IN"/>
        </w:rPr>
      </w:pPr>
    </w:p>
    <w:p w:rsidR="00552AC8" w:rsidRDefault="00552AC8" w:rsidP="004F41A1">
      <w:pPr>
        <w:spacing w:after="120" w:line="240" w:lineRule="auto"/>
        <w:jc w:val="center"/>
        <w:rPr>
          <w:rFonts w:ascii="Arial" w:eastAsia="Arial" w:hAnsi="Arial" w:cs="Arial"/>
          <w:b/>
          <w:bCs/>
          <w:color w:val="1F4E79"/>
          <w:sz w:val="56"/>
          <w:szCs w:val="56"/>
          <w:lang w:val="en-IN" w:eastAsia="en-IN"/>
        </w:rPr>
      </w:pPr>
    </w:p>
    <w:p w:rsidR="00137C94" w:rsidRPr="004F41A1" w:rsidRDefault="00000000" w:rsidP="004F41A1">
      <w:pPr>
        <w:spacing w:after="120" w:line="240" w:lineRule="auto"/>
        <w:jc w:val="center"/>
        <w:rPr>
          <w:rFonts w:ascii="Arial" w:eastAsia="Arial" w:hAnsi="Arial" w:cs="Arial"/>
          <w:b/>
          <w:bCs/>
          <w:color w:val="1F4E79"/>
          <w:sz w:val="56"/>
          <w:szCs w:val="56"/>
          <w:lang w:val="en-IN" w:eastAsia="en-IN"/>
        </w:rPr>
      </w:pPr>
      <w:r w:rsidRPr="004F41A1">
        <w:rPr>
          <w:rFonts w:ascii="Arial" w:eastAsia="Arial" w:hAnsi="Arial" w:cs="Arial"/>
          <w:b/>
          <w:bCs/>
          <w:color w:val="1F4E79"/>
          <w:sz w:val="56"/>
          <w:szCs w:val="56"/>
          <w:lang w:val="en-IN" w:eastAsia="en-IN"/>
        </w:rPr>
        <w:t>AdventureWorks 2022</w:t>
      </w:r>
    </w:p>
    <w:p w:rsidR="00137C94" w:rsidRPr="004F41A1" w:rsidRDefault="00000000" w:rsidP="004F41A1">
      <w:pPr>
        <w:spacing w:after="80" w:line="240" w:lineRule="auto"/>
        <w:jc w:val="center"/>
        <w:rPr>
          <w:rFonts w:ascii="Arial" w:eastAsia="Arial" w:hAnsi="Arial" w:cs="Arial"/>
          <w:b/>
          <w:bCs/>
          <w:color w:val="2E75B6"/>
          <w:sz w:val="40"/>
          <w:szCs w:val="40"/>
          <w:lang w:val="en-IN" w:eastAsia="en-IN"/>
        </w:rPr>
      </w:pPr>
      <w:r w:rsidRPr="004F41A1">
        <w:rPr>
          <w:rFonts w:ascii="Arial" w:eastAsia="Arial" w:hAnsi="Arial" w:cs="Arial"/>
          <w:b/>
          <w:bCs/>
          <w:color w:val="2E75B6"/>
          <w:sz w:val="40"/>
          <w:szCs w:val="40"/>
          <w:lang w:val="en-IN" w:eastAsia="en-IN"/>
        </w:rPr>
        <w:t>Exploratory Data Analysis</w:t>
      </w:r>
    </w:p>
    <w:p w:rsidR="00137C94" w:rsidRDefault="00000000" w:rsidP="004F41A1">
      <w:pPr>
        <w:spacing w:after="80" w:line="240" w:lineRule="auto"/>
        <w:jc w:val="center"/>
        <w:rPr>
          <w:rFonts w:ascii="Arial" w:eastAsia="Arial" w:hAnsi="Arial" w:cs="Arial"/>
          <w:color w:val="666666"/>
          <w:sz w:val="28"/>
          <w:szCs w:val="28"/>
          <w:lang w:val="en-IN" w:eastAsia="en-IN"/>
        </w:rPr>
      </w:pPr>
      <w:r w:rsidRPr="004F41A1">
        <w:rPr>
          <w:rFonts w:ascii="Arial" w:eastAsia="Arial" w:hAnsi="Arial" w:cs="Arial"/>
          <w:color w:val="666666"/>
          <w:sz w:val="28"/>
          <w:szCs w:val="28"/>
          <w:lang w:val="en-IN" w:eastAsia="en-IN"/>
        </w:rPr>
        <w:t>Phase 4 — Customer Retention (Cohort Analysis)</w:t>
      </w:r>
    </w:p>
    <w:p w:rsidR="004F41A1" w:rsidRPr="004F41A1" w:rsidRDefault="004F41A1" w:rsidP="004F41A1">
      <w:pPr>
        <w:spacing w:after="80" w:line="240" w:lineRule="auto"/>
        <w:jc w:val="center"/>
        <w:rPr>
          <w:rFonts w:ascii="Arial" w:eastAsia="Arial" w:hAnsi="Arial" w:cs="Arial"/>
          <w:color w:val="666666"/>
          <w:sz w:val="28"/>
          <w:szCs w:val="28"/>
          <w:lang w:val="en-IN" w:eastAsia="en-IN"/>
        </w:rPr>
      </w:pPr>
    </w:p>
    <w:p w:rsidR="00137C94" w:rsidRPr="004F41A1" w:rsidRDefault="00000000" w:rsidP="004F41A1">
      <w:pPr>
        <w:spacing w:after="0" w:line="240" w:lineRule="auto"/>
        <w:jc w:val="center"/>
        <w:rPr>
          <w:rFonts w:ascii="Arial" w:eastAsia="Arial" w:hAnsi="Arial" w:cs="Arial"/>
          <w:color w:val="888888"/>
          <w:lang w:val="en-IN" w:eastAsia="en-IN"/>
        </w:rPr>
      </w:pPr>
      <w:r w:rsidRPr="004F41A1">
        <w:rPr>
          <w:rFonts w:ascii="Arial" w:eastAsia="Arial" w:hAnsi="Arial" w:cs="Arial"/>
          <w:color w:val="888888"/>
          <w:lang w:val="en-IN" w:eastAsia="en-IN"/>
        </w:rPr>
        <w:t>Focus: Customer retention trends and lifecycle behavior using cohort analysis</w:t>
      </w:r>
    </w:p>
    <w:p w:rsidR="00137C94" w:rsidRPr="004F41A1" w:rsidRDefault="00000000" w:rsidP="004F41A1">
      <w:pPr>
        <w:spacing w:after="0" w:line="240" w:lineRule="auto"/>
        <w:jc w:val="center"/>
        <w:rPr>
          <w:rFonts w:ascii="Arial" w:eastAsia="Arial" w:hAnsi="Arial" w:cs="Arial"/>
          <w:color w:val="888888"/>
          <w:lang w:val="en-IN" w:eastAsia="en-IN"/>
        </w:rPr>
      </w:pPr>
      <w:r w:rsidRPr="004F41A1">
        <w:rPr>
          <w:rFonts w:ascii="Arial" w:eastAsia="Arial" w:hAnsi="Arial" w:cs="Arial"/>
          <w:color w:val="888888"/>
          <w:lang w:val="en-IN" w:eastAsia="en-IN"/>
        </w:rPr>
        <w:t>Tool: SQL Server Management Studio (SSMS)  |  Visualisation: Microsoft Power BI</w:t>
      </w:r>
    </w:p>
    <w:p w:rsidR="004F41A1" w:rsidRDefault="004F41A1">
      <w:r>
        <w:br w:type="page"/>
      </w:r>
    </w:p>
    <w:p w:rsidR="00137C94" w:rsidRDefault="00137C94"/>
    <w:p w:rsidR="00137C94" w:rsidRPr="00552AC8" w:rsidRDefault="00000000" w:rsidP="00552AC8">
      <w:pPr>
        <w:pStyle w:val="Heading1"/>
        <w:keepNext w:val="0"/>
        <w:keepLines w:val="0"/>
        <w:spacing w:before="320" w:after="160" w:line="240" w:lineRule="auto"/>
        <w:rPr>
          <w:rFonts w:ascii="Arial" w:eastAsia="Arial" w:hAnsi="Arial" w:cs="Arial"/>
          <w:color w:val="1F4E79"/>
          <w:sz w:val="32"/>
          <w:szCs w:val="32"/>
          <w:lang w:val="en-IN" w:eastAsia="en-IN"/>
        </w:rPr>
      </w:pPr>
      <w:r w:rsidRPr="004F41A1">
        <w:rPr>
          <w:rFonts w:ascii="Arial" w:eastAsia="Arial" w:hAnsi="Arial" w:cs="Arial"/>
          <w:color w:val="1F4E79"/>
          <w:sz w:val="32"/>
          <w:szCs w:val="32"/>
          <w:lang w:val="en-IN" w:eastAsia="en-IN"/>
        </w:rPr>
        <w:t>Summary of All Phase 4 Findings</w:t>
      </w:r>
      <w:r>
        <w:rPr>
          <w:sz w:val="24"/>
        </w:rPr>
        <w:br/>
      </w:r>
    </w:p>
    <w:tbl>
      <w:tblPr>
        <w:tblStyle w:val="TableGrid"/>
        <w:tblW w:w="11120" w:type="dxa"/>
        <w:tblLook w:val="04A0" w:firstRow="1" w:lastRow="0" w:firstColumn="1" w:lastColumn="0" w:noHBand="0" w:noVBand="1"/>
      </w:tblPr>
      <w:tblGrid>
        <w:gridCol w:w="1530"/>
        <w:gridCol w:w="9590"/>
      </w:tblGrid>
      <w:tr w:rsidR="004F41A1" w:rsidRPr="004F41A1" w:rsidTr="004F41A1">
        <w:trPr>
          <w:trHeight w:val="917"/>
        </w:trPr>
        <w:tc>
          <w:tcPr>
            <w:tcW w:w="1530" w:type="dxa"/>
            <w:shd w:val="clear" w:color="auto" w:fill="4F81BD" w:themeFill="accent1"/>
          </w:tcPr>
          <w:p w:rsidR="004F41A1" w:rsidRDefault="004F41A1">
            <w:pPr>
              <w:rPr>
                <w:rFonts w:ascii="Arial" w:hAnsi="Arial" w:cs="Arial"/>
                <w:b/>
                <w:sz w:val="24"/>
              </w:rPr>
            </w:pPr>
          </w:p>
          <w:p w:rsidR="004F41A1" w:rsidRPr="004F41A1" w:rsidRDefault="004F41A1">
            <w:pPr>
              <w:rPr>
                <w:rFonts w:ascii="Arial" w:hAnsi="Arial" w:cs="Arial"/>
                <w:color w:val="FFFFFF"/>
              </w:rPr>
            </w:pPr>
            <w:r w:rsidRPr="004F41A1">
              <w:rPr>
                <w:rFonts w:ascii="Arial" w:hAnsi="Arial" w:cs="Arial"/>
                <w:b/>
                <w:color w:val="FFFFFF"/>
                <w:sz w:val="24"/>
              </w:rPr>
              <w:t>Finding</w:t>
            </w:r>
            <w:r w:rsidR="00552AC8">
              <w:rPr>
                <w:rFonts w:ascii="Arial" w:hAnsi="Arial" w:cs="Arial"/>
                <w:b/>
                <w:color w:val="FFFFFF"/>
                <w:sz w:val="24"/>
              </w:rPr>
              <w:t xml:space="preserve"> </w:t>
            </w:r>
            <w:r w:rsidRPr="004F41A1">
              <w:rPr>
                <w:rFonts w:ascii="Arial" w:hAnsi="Arial" w:cs="Arial"/>
                <w:b/>
                <w:color w:val="FFFFFF"/>
                <w:sz w:val="24"/>
              </w:rPr>
              <w:t>1</w:t>
            </w:r>
          </w:p>
        </w:tc>
        <w:tc>
          <w:tcPr>
            <w:tcW w:w="9590" w:type="dxa"/>
          </w:tcPr>
          <w:p w:rsidR="004F41A1" w:rsidRPr="004F41A1" w:rsidRDefault="004F41A1" w:rsidP="004F41A1">
            <w:pPr>
              <w:rPr>
                <w:rFonts w:ascii="Arial" w:hAnsi="Arial" w:cs="Arial"/>
              </w:rPr>
            </w:pPr>
            <w:r w:rsidRPr="004F41A1">
              <w:rPr>
                <w:rFonts w:ascii="Arial" w:hAnsi="Arial" w:cs="Arial"/>
                <w:b/>
                <w:sz w:val="24"/>
              </w:rPr>
              <w:t>Retention drops sharply after acquisition</w:t>
            </w:r>
          </w:p>
          <w:p w:rsidR="004F41A1" w:rsidRPr="004F41A1" w:rsidRDefault="004F41A1" w:rsidP="004F41A1">
            <w:pPr>
              <w:rPr>
                <w:rFonts w:ascii="Arial" w:hAnsi="Arial" w:cs="Arial"/>
              </w:rPr>
            </w:pPr>
            <w:r w:rsidRPr="004F41A1">
              <w:rPr>
                <w:rFonts w:ascii="Arial" w:hAnsi="Arial" w:cs="Arial"/>
              </w:rPr>
              <w:t>All cohorts experience a significant decline after the first year. For example, the 2011 cohort drops from 100% to ~14% in the following year, indicating weak short-term retention.</w:t>
            </w:r>
          </w:p>
        </w:tc>
      </w:tr>
      <w:tr w:rsidR="004F41A1" w:rsidRPr="004F41A1" w:rsidTr="004F41A1">
        <w:trPr>
          <w:trHeight w:val="917"/>
        </w:trPr>
        <w:tc>
          <w:tcPr>
            <w:tcW w:w="1530" w:type="dxa"/>
            <w:shd w:val="clear" w:color="auto" w:fill="4F81BD" w:themeFill="accent1"/>
          </w:tcPr>
          <w:p w:rsidR="004F41A1" w:rsidRDefault="004F41A1">
            <w:pPr>
              <w:rPr>
                <w:rFonts w:ascii="Arial" w:hAnsi="Arial" w:cs="Arial"/>
                <w:b/>
                <w:sz w:val="24"/>
              </w:rPr>
            </w:pPr>
          </w:p>
          <w:p w:rsidR="004F41A1" w:rsidRPr="00552AC8" w:rsidRDefault="004F41A1">
            <w:pPr>
              <w:rPr>
                <w:rFonts w:ascii="Arial" w:hAnsi="Arial" w:cs="Arial"/>
                <w:b/>
                <w:color w:val="FFFFFF"/>
                <w:sz w:val="24"/>
              </w:rPr>
            </w:pPr>
            <w:r w:rsidRPr="00552AC8">
              <w:rPr>
                <w:rFonts w:ascii="Arial" w:hAnsi="Arial" w:cs="Arial"/>
                <w:b/>
                <w:color w:val="FFFFFF"/>
                <w:sz w:val="24"/>
              </w:rPr>
              <w:t>Finding</w:t>
            </w:r>
            <w:r w:rsidR="00552AC8">
              <w:rPr>
                <w:rFonts w:ascii="Arial" w:hAnsi="Arial" w:cs="Arial"/>
                <w:b/>
                <w:color w:val="FFFFFF"/>
                <w:sz w:val="24"/>
              </w:rPr>
              <w:t xml:space="preserve"> </w:t>
            </w:r>
            <w:r w:rsidRPr="00552AC8">
              <w:rPr>
                <w:rFonts w:ascii="Arial" w:hAnsi="Arial" w:cs="Arial"/>
                <w:b/>
                <w:color w:val="FFFFFF"/>
                <w:sz w:val="24"/>
              </w:rPr>
              <w:t>2</w:t>
            </w:r>
          </w:p>
        </w:tc>
        <w:tc>
          <w:tcPr>
            <w:tcW w:w="9590" w:type="dxa"/>
          </w:tcPr>
          <w:p w:rsidR="004F41A1" w:rsidRPr="004F41A1" w:rsidRDefault="004F41A1" w:rsidP="004F41A1">
            <w:pPr>
              <w:rPr>
                <w:rFonts w:ascii="Arial" w:hAnsi="Arial" w:cs="Arial"/>
              </w:rPr>
            </w:pPr>
            <w:r w:rsidRPr="004F41A1">
              <w:rPr>
                <w:rFonts w:ascii="Arial" w:hAnsi="Arial" w:cs="Arial"/>
                <w:b/>
                <w:sz w:val="24"/>
              </w:rPr>
              <w:t>Customers return after long gaps</w:t>
            </w:r>
          </w:p>
          <w:p w:rsidR="004F41A1" w:rsidRPr="004F41A1" w:rsidRDefault="004F41A1" w:rsidP="004F41A1">
            <w:pPr>
              <w:rPr>
                <w:rFonts w:ascii="Arial" w:hAnsi="Arial" w:cs="Arial"/>
              </w:rPr>
            </w:pPr>
            <w:r w:rsidRPr="004F41A1">
              <w:rPr>
                <w:rFonts w:ascii="Arial" w:hAnsi="Arial" w:cs="Arial"/>
              </w:rPr>
              <w:t>Retention increases again in later years (e.g., 2011 cohort reaches ~50% in 2013), suggesting customers do not purchase annually but return after longer intervals.</w:t>
            </w:r>
          </w:p>
        </w:tc>
      </w:tr>
      <w:tr w:rsidR="004F41A1" w:rsidRPr="004F41A1" w:rsidTr="004F41A1">
        <w:trPr>
          <w:trHeight w:val="917"/>
        </w:trPr>
        <w:tc>
          <w:tcPr>
            <w:tcW w:w="1530" w:type="dxa"/>
            <w:shd w:val="clear" w:color="auto" w:fill="4F81BD" w:themeFill="accent1"/>
          </w:tcPr>
          <w:p w:rsidR="004F41A1" w:rsidRDefault="004F41A1">
            <w:pPr>
              <w:rPr>
                <w:rFonts w:ascii="Arial" w:hAnsi="Arial" w:cs="Arial"/>
                <w:b/>
                <w:sz w:val="24"/>
              </w:rPr>
            </w:pPr>
          </w:p>
          <w:p w:rsidR="004F41A1" w:rsidRPr="00552AC8" w:rsidRDefault="004F41A1">
            <w:pPr>
              <w:rPr>
                <w:rFonts w:ascii="Arial" w:hAnsi="Arial" w:cs="Arial"/>
                <w:b/>
                <w:color w:val="FFFFFF"/>
                <w:sz w:val="24"/>
              </w:rPr>
            </w:pPr>
            <w:r w:rsidRPr="00552AC8">
              <w:rPr>
                <w:rFonts w:ascii="Arial" w:hAnsi="Arial" w:cs="Arial"/>
                <w:b/>
                <w:color w:val="FFFFFF"/>
                <w:sz w:val="24"/>
              </w:rPr>
              <w:t>Finding</w:t>
            </w:r>
            <w:r w:rsidR="00552AC8">
              <w:rPr>
                <w:rFonts w:ascii="Arial" w:hAnsi="Arial" w:cs="Arial"/>
                <w:b/>
                <w:color w:val="FFFFFF"/>
                <w:sz w:val="24"/>
              </w:rPr>
              <w:t xml:space="preserve"> </w:t>
            </w:r>
            <w:r w:rsidRPr="00552AC8">
              <w:rPr>
                <w:rFonts w:ascii="Arial" w:hAnsi="Arial" w:cs="Arial"/>
                <w:b/>
                <w:color w:val="FFFFFF"/>
                <w:sz w:val="24"/>
              </w:rPr>
              <w:t>3</w:t>
            </w:r>
          </w:p>
        </w:tc>
        <w:tc>
          <w:tcPr>
            <w:tcW w:w="9590" w:type="dxa"/>
          </w:tcPr>
          <w:p w:rsidR="004F41A1" w:rsidRPr="004F41A1" w:rsidRDefault="004F41A1" w:rsidP="004F41A1">
            <w:pPr>
              <w:rPr>
                <w:rFonts w:ascii="Arial" w:hAnsi="Arial" w:cs="Arial"/>
              </w:rPr>
            </w:pPr>
            <w:r w:rsidRPr="004F41A1">
              <w:rPr>
                <w:rFonts w:ascii="Arial" w:hAnsi="Arial" w:cs="Arial"/>
                <w:b/>
                <w:sz w:val="24"/>
              </w:rPr>
              <w:t>2012 cohort shows strongest retention</w:t>
            </w:r>
          </w:p>
          <w:p w:rsidR="004F41A1" w:rsidRPr="004F41A1" w:rsidRDefault="004F41A1" w:rsidP="004F41A1">
            <w:pPr>
              <w:rPr>
                <w:rFonts w:ascii="Arial" w:hAnsi="Arial" w:cs="Arial"/>
              </w:rPr>
            </w:pPr>
            <w:r w:rsidRPr="004F41A1">
              <w:rPr>
                <w:rFonts w:ascii="Arial" w:hAnsi="Arial" w:cs="Arial"/>
              </w:rPr>
              <w:t>The 2012 cohort retains ~56% in the next year and ~54% thereafter, indicating more stable and engaged customers compared to other cohorts.</w:t>
            </w:r>
          </w:p>
        </w:tc>
      </w:tr>
      <w:tr w:rsidR="004F41A1" w:rsidRPr="004F41A1" w:rsidTr="004F41A1">
        <w:trPr>
          <w:trHeight w:val="917"/>
        </w:trPr>
        <w:tc>
          <w:tcPr>
            <w:tcW w:w="1530" w:type="dxa"/>
            <w:shd w:val="clear" w:color="auto" w:fill="4F81BD" w:themeFill="accent1"/>
          </w:tcPr>
          <w:p w:rsidR="004F41A1" w:rsidRDefault="004F41A1">
            <w:pPr>
              <w:rPr>
                <w:rFonts w:ascii="Arial" w:hAnsi="Arial" w:cs="Arial"/>
                <w:b/>
                <w:sz w:val="24"/>
              </w:rPr>
            </w:pPr>
          </w:p>
          <w:p w:rsidR="004F41A1" w:rsidRPr="004F41A1" w:rsidRDefault="004F41A1">
            <w:pPr>
              <w:rPr>
                <w:rFonts w:ascii="Arial" w:hAnsi="Arial" w:cs="Arial"/>
                <w:b/>
                <w:sz w:val="24"/>
              </w:rPr>
            </w:pPr>
            <w:r w:rsidRPr="004F41A1">
              <w:rPr>
                <w:rFonts w:ascii="Arial" w:hAnsi="Arial" w:cs="Arial"/>
                <w:b/>
                <w:color w:val="FFFFFF"/>
                <w:sz w:val="24"/>
              </w:rPr>
              <w:t>Finding</w:t>
            </w:r>
            <w:r w:rsidR="00552AC8">
              <w:rPr>
                <w:rFonts w:ascii="Arial" w:hAnsi="Arial" w:cs="Arial"/>
                <w:b/>
                <w:color w:val="FFFFFF"/>
                <w:sz w:val="24"/>
              </w:rPr>
              <w:t xml:space="preserve"> 4</w:t>
            </w:r>
          </w:p>
        </w:tc>
        <w:tc>
          <w:tcPr>
            <w:tcW w:w="9590" w:type="dxa"/>
          </w:tcPr>
          <w:p w:rsidR="004F41A1" w:rsidRPr="004F41A1" w:rsidRDefault="004F41A1" w:rsidP="004F41A1">
            <w:pPr>
              <w:rPr>
                <w:rFonts w:ascii="Arial" w:hAnsi="Arial" w:cs="Arial"/>
              </w:rPr>
            </w:pPr>
            <w:r w:rsidRPr="004F41A1">
              <w:rPr>
                <w:rFonts w:ascii="Arial" w:hAnsi="Arial" w:cs="Arial"/>
                <w:b/>
                <w:sz w:val="24"/>
              </w:rPr>
              <w:t>2013 cohort shows weak retention quality</w:t>
            </w:r>
          </w:p>
          <w:p w:rsidR="004F41A1" w:rsidRPr="004F41A1" w:rsidRDefault="004F41A1" w:rsidP="004F41A1">
            <w:pPr>
              <w:rPr>
                <w:rFonts w:ascii="Arial" w:hAnsi="Arial" w:cs="Arial"/>
              </w:rPr>
            </w:pPr>
            <w:r w:rsidRPr="004F41A1">
              <w:rPr>
                <w:rFonts w:ascii="Arial" w:hAnsi="Arial" w:cs="Arial"/>
              </w:rPr>
              <w:t>The 2013 cohort retains only ~24% in the following year, suggesting lower-quality or less engaged customers acquired during this period.</w:t>
            </w:r>
          </w:p>
        </w:tc>
      </w:tr>
      <w:tr w:rsidR="004F41A1" w:rsidRPr="004F41A1" w:rsidTr="004F41A1">
        <w:trPr>
          <w:trHeight w:val="917"/>
        </w:trPr>
        <w:tc>
          <w:tcPr>
            <w:tcW w:w="1530" w:type="dxa"/>
            <w:shd w:val="clear" w:color="auto" w:fill="4F81BD" w:themeFill="accent1"/>
          </w:tcPr>
          <w:p w:rsidR="004F41A1" w:rsidRDefault="004F41A1">
            <w:pPr>
              <w:rPr>
                <w:rFonts w:ascii="Arial" w:hAnsi="Arial" w:cs="Arial"/>
                <w:b/>
                <w:sz w:val="24"/>
              </w:rPr>
            </w:pPr>
          </w:p>
          <w:p w:rsidR="004F41A1" w:rsidRPr="004F41A1" w:rsidRDefault="004F41A1">
            <w:pPr>
              <w:rPr>
                <w:rFonts w:ascii="Arial" w:hAnsi="Arial" w:cs="Arial"/>
                <w:b/>
                <w:sz w:val="24"/>
              </w:rPr>
            </w:pPr>
            <w:r w:rsidRPr="004F41A1">
              <w:rPr>
                <w:rFonts w:ascii="Arial" w:hAnsi="Arial" w:cs="Arial"/>
                <w:b/>
                <w:color w:val="FFFFFF"/>
                <w:sz w:val="24"/>
              </w:rPr>
              <w:t>Finding</w:t>
            </w:r>
            <w:r w:rsidR="00552AC8">
              <w:rPr>
                <w:rFonts w:ascii="Arial" w:hAnsi="Arial" w:cs="Arial"/>
                <w:b/>
                <w:color w:val="FFFFFF"/>
                <w:sz w:val="24"/>
              </w:rPr>
              <w:t xml:space="preserve"> 5</w:t>
            </w:r>
          </w:p>
        </w:tc>
        <w:tc>
          <w:tcPr>
            <w:tcW w:w="9590" w:type="dxa"/>
          </w:tcPr>
          <w:p w:rsidR="004F41A1" w:rsidRPr="004F41A1" w:rsidRDefault="004F41A1" w:rsidP="004F41A1">
            <w:pPr>
              <w:rPr>
                <w:rFonts w:ascii="Arial" w:hAnsi="Arial" w:cs="Arial"/>
              </w:rPr>
            </w:pPr>
            <w:r w:rsidRPr="004F41A1">
              <w:rPr>
                <w:rFonts w:ascii="Arial" w:hAnsi="Arial" w:cs="Arial"/>
                <w:b/>
                <w:sz w:val="24"/>
              </w:rPr>
              <w:t>Business follows long purchase cycles</w:t>
            </w:r>
          </w:p>
          <w:p w:rsidR="004F41A1" w:rsidRPr="004F41A1" w:rsidRDefault="004F41A1" w:rsidP="004F41A1">
            <w:pPr>
              <w:rPr>
                <w:rFonts w:ascii="Arial" w:hAnsi="Arial" w:cs="Arial"/>
              </w:rPr>
            </w:pPr>
            <w:r w:rsidRPr="004F41A1">
              <w:rPr>
                <w:rFonts w:ascii="Arial" w:hAnsi="Arial" w:cs="Arial"/>
              </w:rPr>
              <w:t>Retention behavior indicates customers purchase infrequently (1+ year cycles), consistent with high-value or B2B purchasing patterns.</w:t>
            </w:r>
          </w:p>
        </w:tc>
      </w:tr>
      <w:tr w:rsidR="004F41A1" w:rsidRPr="004F41A1" w:rsidTr="004F41A1">
        <w:trPr>
          <w:trHeight w:val="917"/>
        </w:trPr>
        <w:tc>
          <w:tcPr>
            <w:tcW w:w="1530" w:type="dxa"/>
            <w:shd w:val="clear" w:color="auto" w:fill="4F81BD" w:themeFill="accent1"/>
          </w:tcPr>
          <w:p w:rsidR="004F41A1" w:rsidRDefault="004F41A1">
            <w:pPr>
              <w:rPr>
                <w:rFonts w:ascii="Arial" w:hAnsi="Arial" w:cs="Arial"/>
                <w:b/>
                <w:sz w:val="24"/>
              </w:rPr>
            </w:pPr>
          </w:p>
          <w:p w:rsidR="004F41A1" w:rsidRPr="004F41A1" w:rsidRDefault="004F41A1">
            <w:pPr>
              <w:rPr>
                <w:rFonts w:ascii="Arial" w:hAnsi="Arial" w:cs="Arial"/>
                <w:b/>
                <w:sz w:val="24"/>
              </w:rPr>
            </w:pPr>
            <w:r w:rsidRPr="004F41A1">
              <w:rPr>
                <w:rFonts w:ascii="Arial" w:hAnsi="Arial" w:cs="Arial"/>
                <w:b/>
                <w:color w:val="FFFFFF"/>
                <w:sz w:val="24"/>
              </w:rPr>
              <w:t>Finding</w:t>
            </w:r>
            <w:r w:rsidR="00552AC8">
              <w:rPr>
                <w:rFonts w:ascii="Arial" w:hAnsi="Arial" w:cs="Arial"/>
                <w:b/>
                <w:color w:val="FFFFFF"/>
                <w:sz w:val="24"/>
              </w:rPr>
              <w:t xml:space="preserve"> 6</w:t>
            </w:r>
          </w:p>
        </w:tc>
        <w:tc>
          <w:tcPr>
            <w:tcW w:w="9590" w:type="dxa"/>
          </w:tcPr>
          <w:p w:rsidR="004F41A1" w:rsidRPr="004F41A1" w:rsidRDefault="004F41A1" w:rsidP="004F41A1">
            <w:pPr>
              <w:rPr>
                <w:rFonts w:ascii="Arial" w:hAnsi="Arial" w:cs="Arial"/>
              </w:rPr>
            </w:pPr>
            <w:r w:rsidRPr="004F41A1">
              <w:rPr>
                <w:rFonts w:ascii="Arial" w:hAnsi="Arial" w:cs="Arial"/>
                <w:b/>
                <w:sz w:val="24"/>
              </w:rPr>
              <w:t>Cohort analysis reveals lifecycle and churn points</w:t>
            </w:r>
          </w:p>
          <w:p w:rsidR="004F41A1" w:rsidRPr="004F41A1" w:rsidRDefault="004F41A1" w:rsidP="004F41A1">
            <w:pPr>
              <w:rPr>
                <w:rFonts w:ascii="Arial" w:hAnsi="Arial" w:cs="Arial"/>
              </w:rPr>
            </w:pPr>
            <w:r w:rsidRPr="004F41A1">
              <w:rPr>
                <w:rFonts w:ascii="Arial" w:hAnsi="Arial" w:cs="Arial"/>
              </w:rPr>
              <w:t>This analysis highlights when customers drop off and when they return, enabling targeted retention strategies and better lifecycle management.</w:t>
            </w:r>
          </w:p>
        </w:tc>
      </w:tr>
    </w:tbl>
    <w:p w:rsidR="00137C94" w:rsidRPr="004F41A1" w:rsidRDefault="00137C94" w:rsidP="004F41A1">
      <w:pPr>
        <w:spacing w:after="0" w:line="240" w:lineRule="auto"/>
        <w:rPr>
          <w:rFonts w:ascii="Arial" w:hAnsi="Arial" w:cs="Arial"/>
        </w:rPr>
      </w:pPr>
    </w:p>
    <w:p w:rsidR="00137C94" w:rsidRPr="004F41A1" w:rsidRDefault="00000000" w:rsidP="004F41A1">
      <w:pPr>
        <w:rPr>
          <w:rFonts w:ascii="Arial" w:hAnsi="Arial" w:cs="Arial"/>
        </w:rPr>
      </w:pPr>
      <w:r w:rsidRPr="004F41A1">
        <w:rPr>
          <w:rFonts w:ascii="Arial" w:hAnsi="Arial" w:cs="Arial"/>
          <w:b/>
          <w:sz w:val="24"/>
        </w:rPr>
        <w:br/>
      </w:r>
    </w:p>
    <w:p w:rsidR="00137C94" w:rsidRPr="004F41A1" w:rsidRDefault="00137C94">
      <w:pPr>
        <w:rPr>
          <w:rFonts w:ascii="Arial" w:hAnsi="Arial" w:cs="Arial"/>
        </w:rPr>
      </w:pPr>
    </w:p>
    <w:p w:rsidR="00137C94" w:rsidRPr="004F41A1" w:rsidRDefault="00000000" w:rsidP="004F41A1">
      <w:pPr>
        <w:rPr>
          <w:rFonts w:ascii="Arial" w:hAnsi="Arial" w:cs="Arial"/>
        </w:rPr>
      </w:pPr>
      <w:r w:rsidRPr="004F41A1">
        <w:rPr>
          <w:rFonts w:ascii="Arial" w:hAnsi="Arial" w:cs="Arial"/>
          <w:b/>
          <w:sz w:val="24"/>
        </w:rPr>
        <w:br/>
      </w:r>
    </w:p>
    <w:p w:rsidR="00137C94" w:rsidRPr="004F41A1" w:rsidRDefault="00137C94">
      <w:pPr>
        <w:rPr>
          <w:rFonts w:ascii="Arial" w:hAnsi="Arial" w:cs="Arial"/>
        </w:rPr>
      </w:pPr>
    </w:p>
    <w:p w:rsidR="00137C94" w:rsidRPr="004F41A1" w:rsidRDefault="00000000" w:rsidP="004F41A1">
      <w:pPr>
        <w:rPr>
          <w:rFonts w:ascii="Arial" w:hAnsi="Arial" w:cs="Arial"/>
        </w:rPr>
      </w:pPr>
      <w:r w:rsidRPr="004F41A1">
        <w:rPr>
          <w:rFonts w:ascii="Arial" w:hAnsi="Arial" w:cs="Arial"/>
          <w:b/>
          <w:sz w:val="24"/>
        </w:rPr>
        <w:br/>
      </w:r>
    </w:p>
    <w:p w:rsidR="00137C94" w:rsidRPr="004F41A1" w:rsidRDefault="00137C94">
      <w:pPr>
        <w:rPr>
          <w:rFonts w:ascii="Arial" w:hAnsi="Arial" w:cs="Arial"/>
        </w:rPr>
      </w:pPr>
    </w:p>
    <w:p w:rsidR="00137C94" w:rsidRPr="004F41A1" w:rsidRDefault="00137C94">
      <w:pPr>
        <w:rPr>
          <w:rFonts w:ascii="Arial" w:hAnsi="Arial" w:cs="Arial"/>
        </w:rPr>
      </w:pPr>
    </w:p>
    <w:sectPr w:rsidR="00137C94" w:rsidRPr="004F41A1" w:rsidSect="004F41A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5696430">
    <w:abstractNumId w:val="8"/>
  </w:num>
  <w:num w:numId="2" w16cid:durableId="1522090624">
    <w:abstractNumId w:val="6"/>
  </w:num>
  <w:num w:numId="3" w16cid:durableId="74516613">
    <w:abstractNumId w:val="5"/>
  </w:num>
  <w:num w:numId="4" w16cid:durableId="1693725497">
    <w:abstractNumId w:val="4"/>
  </w:num>
  <w:num w:numId="5" w16cid:durableId="353580777">
    <w:abstractNumId w:val="7"/>
  </w:num>
  <w:num w:numId="6" w16cid:durableId="440688085">
    <w:abstractNumId w:val="3"/>
  </w:num>
  <w:num w:numId="7" w16cid:durableId="2083215322">
    <w:abstractNumId w:val="2"/>
  </w:num>
  <w:num w:numId="8" w16cid:durableId="686714076">
    <w:abstractNumId w:val="1"/>
  </w:num>
  <w:num w:numId="9" w16cid:durableId="436868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C94"/>
    <w:rsid w:val="0015074B"/>
    <w:rsid w:val="0029639D"/>
    <w:rsid w:val="00326F90"/>
    <w:rsid w:val="004F41A1"/>
    <w:rsid w:val="00552AC8"/>
    <w:rsid w:val="00AA1D8D"/>
    <w:rsid w:val="00B47730"/>
    <w:rsid w:val="00BA6E1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7FF017"/>
  <w14:defaultImageDpi w14:val="300"/>
  <w15:docId w15:val="{7514CDD3-05FC-4533-98A6-D2EF1F53A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2026-04-17T16:45:00Z</dcterms:modified>
  <cp:category/>
</cp:coreProperties>
</file>